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="-856" w:tblpY="-5"/>
        <w:tblW w:w="10060" w:type="dxa"/>
        <w:tblLook w:val="04A0" w:firstRow="1" w:lastRow="0" w:firstColumn="1" w:lastColumn="0" w:noHBand="0" w:noVBand="1"/>
      </w:tblPr>
      <w:tblGrid>
        <w:gridCol w:w="4395"/>
        <w:gridCol w:w="5665"/>
      </w:tblGrid>
      <w:tr w:rsidR="00D75A54" w:rsidTr="00956866">
        <w:tc>
          <w:tcPr>
            <w:tcW w:w="10060" w:type="dxa"/>
            <w:gridSpan w:val="2"/>
            <w:shd w:val="clear" w:color="auto" w:fill="009999"/>
          </w:tcPr>
          <w:p w:rsidR="00217BF3" w:rsidRDefault="00217BF3" w:rsidP="00217BF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Minuta de reunión</w:t>
            </w:r>
          </w:p>
          <w:p w:rsidR="00AD7E1E" w:rsidRPr="00217BF3" w:rsidRDefault="00956866" w:rsidP="00217BF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G</w:t>
            </w:r>
            <w:r w:rsidR="00AD7E1E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rupo</w:t>
            </w:r>
            <w:r w:rsidR="00217BF3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I</w:t>
            </w:r>
            <w:r w:rsidR="00AD7E1E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nterdisciplinario del IAIP Oaxaca</w:t>
            </w:r>
          </w:p>
        </w:tc>
      </w:tr>
      <w:tr w:rsidR="00D75A54" w:rsidTr="00956866">
        <w:tc>
          <w:tcPr>
            <w:tcW w:w="4395" w:type="dxa"/>
          </w:tcPr>
          <w:p w:rsidR="00D75A54" w:rsidRDefault="00217BF3" w:rsidP="00956866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Tipo de reunión</w:t>
            </w:r>
          </w:p>
        </w:tc>
        <w:tc>
          <w:tcPr>
            <w:tcW w:w="5665" w:type="dxa"/>
          </w:tcPr>
          <w:p w:rsidR="00D75A54" w:rsidRPr="00217BF3" w:rsidRDefault="00217BF3" w:rsidP="00956866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Extraordinaria</w:t>
            </w:r>
          </w:p>
        </w:tc>
      </w:tr>
      <w:tr w:rsidR="00217BF3" w:rsidTr="00956866">
        <w:tc>
          <w:tcPr>
            <w:tcW w:w="4395" w:type="dxa"/>
          </w:tcPr>
          <w:p w:rsidR="00217BF3" w:rsidRDefault="00217BF3" w:rsidP="00956866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Número de reunión</w:t>
            </w:r>
          </w:p>
        </w:tc>
        <w:tc>
          <w:tcPr>
            <w:tcW w:w="5665" w:type="dxa"/>
          </w:tcPr>
          <w:p w:rsidR="00217BF3" w:rsidRPr="0032423B" w:rsidRDefault="00217BF3" w:rsidP="00956866">
            <w:pPr>
              <w:rPr>
                <w:rFonts w:ascii="Arial" w:hAnsi="Arial" w:cs="Arial"/>
                <w:bCs/>
                <w:sz w:val="22"/>
              </w:rPr>
            </w:pPr>
            <w:r w:rsidRPr="0032423B">
              <w:rPr>
                <w:rFonts w:ascii="Arial" w:hAnsi="Arial" w:cs="Arial"/>
                <w:bCs/>
                <w:sz w:val="22"/>
              </w:rPr>
              <w:t>01</w:t>
            </w:r>
          </w:p>
        </w:tc>
      </w:tr>
      <w:tr w:rsidR="00D75A54" w:rsidTr="00956866">
        <w:tc>
          <w:tcPr>
            <w:tcW w:w="4395" w:type="dxa"/>
          </w:tcPr>
          <w:p w:rsidR="00D75A54" w:rsidRPr="00C74185" w:rsidRDefault="00D75A54" w:rsidP="00956866">
            <w:pPr>
              <w:rPr>
                <w:rFonts w:ascii="Arial" w:hAnsi="Arial" w:cs="Arial"/>
                <w:bCs/>
                <w:sz w:val="22"/>
              </w:rPr>
            </w:pPr>
            <w:r w:rsidRPr="00C74185">
              <w:rPr>
                <w:rFonts w:ascii="Arial" w:hAnsi="Arial" w:cs="Arial"/>
                <w:bCs/>
                <w:sz w:val="22"/>
              </w:rPr>
              <w:t>Lugar</w:t>
            </w:r>
          </w:p>
        </w:tc>
        <w:tc>
          <w:tcPr>
            <w:tcW w:w="5665" w:type="dxa"/>
          </w:tcPr>
          <w:p w:rsidR="00D75A54" w:rsidRDefault="004D6D00" w:rsidP="00C6283A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4D6D00">
              <w:rPr>
                <w:rFonts w:ascii="Arial" w:hAnsi="Arial" w:cs="Arial"/>
                <w:bCs/>
                <w:sz w:val="22"/>
              </w:rPr>
              <w:t>En atención a la contingencia de salud COVID-19 que está atravesando nuestro país, las recomendaciones y medidas sanitarias emitidas por las Secretarías de Salud a nivel Nacional y Estatal; asimis</w:t>
            </w:r>
            <w:r w:rsidR="00C6283A">
              <w:rPr>
                <w:rFonts w:ascii="Arial" w:hAnsi="Arial" w:cs="Arial"/>
                <w:bCs/>
                <w:sz w:val="22"/>
              </w:rPr>
              <w:t>mo con las acciones tomadas por</w:t>
            </w:r>
            <w:r w:rsidRPr="004D6D00">
              <w:rPr>
                <w:rFonts w:ascii="Arial" w:hAnsi="Arial" w:cs="Arial"/>
                <w:bCs/>
                <w:sz w:val="22"/>
              </w:rPr>
              <w:t xml:space="preserve"> el Consejo General de este Instituto, siendo estas el acuerdo</w:t>
            </w:r>
            <w:r w:rsidR="00C6283A">
              <w:rPr>
                <w:rFonts w:ascii="Arial" w:hAnsi="Arial" w:cs="Arial"/>
                <w:bCs/>
                <w:sz w:val="22"/>
              </w:rPr>
              <w:t xml:space="preserve"> de fecha 28 de octubre del año 2020 </w:t>
            </w:r>
            <w:r w:rsidRPr="004D6D00">
              <w:rPr>
                <w:rFonts w:ascii="Arial" w:hAnsi="Arial" w:cs="Arial"/>
                <w:bCs/>
                <w:sz w:val="22"/>
              </w:rPr>
              <w:t>y el comunicado relativo al cumplimiento de las actividades concernientes al Instituto como Órgano Garante y Sujeto Ob</w:t>
            </w:r>
            <w:r w:rsidR="0009268C">
              <w:rPr>
                <w:rFonts w:ascii="Arial" w:hAnsi="Arial" w:cs="Arial"/>
                <w:bCs/>
                <w:sz w:val="22"/>
              </w:rPr>
              <w:t>ligado, dicha reunión se llevó</w:t>
            </w:r>
            <w:r w:rsidRPr="004D6D00">
              <w:rPr>
                <w:rFonts w:ascii="Arial" w:hAnsi="Arial" w:cs="Arial"/>
                <w:bCs/>
                <w:sz w:val="22"/>
              </w:rPr>
              <w:t xml:space="preserve"> a cabo </w:t>
            </w:r>
            <w:r w:rsidRPr="0009268C">
              <w:rPr>
                <w:rFonts w:ascii="Arial" w:hAnsi="Arial" w:cs="Arial"/>
                <w:b/>
                <w:bCs/>
                <w:sz w:val="22"/>
              </w:rPr>
              <w:t>vía remota por medios digitales</w:t>
            </w:r>
            <w:r w:rsidRPr="004D6D00">
              <w:rPr>
                <w:rFonts w:ascii="Arial" w:hAnsi="Arial" w:cs="Arial"/>
                <w:bCs/>
                <w:sz w:val="22"/>
              </w:rPr>
              <w:t xml:space="preserve">, </w:t>
            </w:r>
            <w:r w:rsidRPr="0009268C">
              <w:rPr>
                <w:rFonts w:ascii="Arial" w:hAnsi="Arial" w:cs="Arial"/>
                <w:b/>
                <w:bCs/>
                <w:sz w:val="22"/>
              </w:rPr>
              <w:t>a través de la plataforma electrónica denominada Zoom</w:t>
            </w:r>
          </w:p>
        </w:tc>
      </w:tr>
      <w:tr w:rsidR="00D75A54" w:rsidTr="00956866">
        <w:tc>
          <w:tcPr>
            <w:tcW w:w="4395" w:type="dxa"/>
          </w:tcPr>
          <w:p w:rsidR="00D75A54" w:rsidRDefault="00D75A54" w:rsidP="00956866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F</w:t>
            </w:r>
            <w:r w:rsidRPr="00C74185">
              <w:rPr>
                <w:rFonts w:ascii="Arial" w:hAnsi="Arial" w:cs="Arial"/>
                <w:bCs/>
                <w:sz w:val="22"/>
              </w:rPr>
              <w:t xml:space="preserve">echa </w:t>
            </w:r>
          </w:p>
        </w:tc>
        <w:tc>
          <w:tcPr>
            <w:tcW w:w="5665" w:type="dxa"/>
          </w:tcPr>
          <w:p w:rsidR="00D75A54" w:rsidRDefault="00AD7E1E" w:rsidP="00956866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11</w:t>
            </w:r>
            <w:r w:rsidR="00D75A54" w:rsidRPr="00C74185">
              <w:rPr>
                <w:rFonts w:ascii="Arial" w:hAnsi="Arial" w:cs="Arial"/>
                <w:bCs/>
                <w:sz w:val="22"/>
              </w:rPr>
              <w:t xml:space="preserve"> de </w:t>
            </w:r>
            <w:r>
              <w:rPr>
                <w:rFonts w:ascii="Arial" w:hAnsi="Arial" w:cs="Arial"/>
                <w:bCs/>
                <w:sz w:val="22"/>
              </w:rPr>
              <w:t>enero del 2021</w:t>
            </w:r>
          </w:p>
        </w:tc>
      </w:tr>
      <w:tr w:rsidR="00D75A54" w:rsidTr="00956866">
        <w:tc>
          <w:tcPr>
            <w:tcW w:w="4395" w:type="dxa"/>
          </w:tcPr>
          <w:p w:rsidR="00D75A54" w:rsidRDefault="00D75A54" w:rsidP="00956866">
            <w:pPr>
              <w:rPr>
                <w:rFonts w:ascii="Arial" w:hAnsi="Arial" w:cs="Arial"/>
                <w:bCs/>
                <w:sz w:val="22"/>
              </w:rPr>
            </w:pPr>
            <w:r w:rsidRPr="00C74185">
              <w:rPr>
                <w:rFonts w:ascii="Arial" w:hAnsi="Arial" w:cs="Arial"/>
                <w:bCs/>
                <w:sz w:val="22"/>
              </w:rPr>
              <w:t>Hora de Inicio</w:t>
            </w:r>
          </w:p>
        </w:tc>
        <w:tc>
          <w:tcPr>
            <w:tcW w:w="5665" w:type="dxa"/>
          </w:tcPr>
          <w:p w:rsidR="00D75A54" w:rsidRDefault="00AD7E1E" w:rsidP="00956866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10:04</w:t>
            </w:r>
            <w:r w:rsidR="00491AE3">
              <w:rPr>
                <w:rFonts w:ascii="Arial" w:hAnsi="Arial" w:cs="Arial"/>
                <w:bCs/>
                <w:sz w:val="22"/>
              </w:rPr>
              <w:t>am</w:t>
            </w:r>
          </w:p>
        </w:tc>
      </w:tr>
      <w:tr w:rsidR="00D75A54" w:rsidTr="00956866">
        <w:tc>
          <w:tcPr>
            <w:tcW w:w="4395" w:type="dxa"/>
          </w:tcPr>
          <w:p w:rsidR="00D75A54" w:rsidRDefault="00D75A54" w:rsidP="00956866">
            <w:pPr>
              <w:rPr>
                <w:rFonts w:ascii="Arial" w:hAnsi="Arial" w:cs="Arial"/>
                <w:bCs/>
                <w:sz w:val="22"/>
              </w:rPr>
            </w:pPr>
            <w:r w:rsidRPr="00C74185">
              <w:rPr>
                <w:rFonts w:ascii="Arial" w:hAnsi="Arial" w:cs="Arial"/>
                <w:bCs/>
                <w:sz w:val="22"/>
              </w:rPr>
              <w:t>Hora de cierre</w:t>
            </w:r>
          </w:p>
        </w:tc>
        <w:tc>
          <w:tcPr>
            <w:tcW w:w="5665" w:type="dxa"/>
          </w:tcPr>
          <w:p w:rsidR="00D75A54" w:rsidRDefault="00AD7E1E" w:rsidP="00956866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01:14</w:t>
            </w:r>
            <w:r w:rsidR="00491AE3">
              <w:rPr>
                <w:rFonts w:ascii="Arial" w:hAnsi="Arial" w:cs="Arial"/>
                <w:bCs/>
                <w:sz w:val="22"/>
              </w:rPr>
              <w:t>pm</w:t>
            </w:r>
          </w:p>
        </w:tc>
      </w:tr>
    </w:tbl>
    <w:p w:rsidR="00D75A54" w:rsidRDefault="00D75A54" w:rsidP="00D75A54">
      <w:pPr>
        <w:rPr>
          <w:rFonts w:ascii="Arial" w:hAnsi="Arial" w:cs="Arial"/>
          <w:bCs/>
          <w:sz w:val="22"/>
        </w:rPr>
      </w:pPr>
    </w:p>
    <w:p w:rsidR="00D75A54" w:rsidRPr="00EB254C" w:rsidRDefault="00D75A54" w:rsidP="00D75A54">
      <w:pPr>
        <w:jc w:val="both"/>
        <w:rPr>
          <w:rFonts w:ascii="Arial" w:hAnsi="Arial" w:cs="Arial"/>
          <w:b/>
          <w:bCs/>
          <w:sz w:val="22"/>
        </w:rPr>
      </w:pPr>
      <w:r w:rsidRPr="00EB254C">
        <w:rPr>
          <w:rFonts w:ascii="Arial" w:hAnsi="Arial" w:cs="Arial"/>
          <w:b/>
          <w:bCs/>
          <w:sz w:val="22"/>
        </w:rPr>
        <w:t>Lista de asistentes:</w:t>
      </w:r>
    </w:p>
    <w:p w:rsidR="00FD07A0" w:rsidRPr="00FD07A0" w:rsidRDefault="005C273A" w:rsidP="00A53558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bCs/>
          <w:lang w:val="es-ES"/>
        </w:rPr>
        <w:t xml:space="preserve">La lista de asistencia se encuentra en el </w:t>
      </w:r>
      <w:r w:rsidR="00FD07A0" w:rsidRPr="00AF0243">
        <w:rPr>
          <w:rFonts w:ascii="Arial" w:eastAsia="Times New Roman" w:hAnsi="Arial" w:cs="Arial"/>
          <w:b/>
          <w:bCs/>
          <w:lang w:val="es-ES"/>
        </w:rPr>
        <w:t>Anexo 01</w:t>
      </w:r>
    </w:p>
    <w:p w:rsidR="0004566B" w:rsidRPr="00FD07A0" w:rsidRDefault="0004566B" w:rsidP="005C273A">
      <w:pPr>
        <w:pStyle w:val="Prrafodelista"/>
        <w:jc w:val="both"/>
        <w:rPr>
          <w:rFonts w:ascii="Arial" w:eastAsia="Times New Roman" w:hAnsi="Arial" w:cs="Arial"/>
          <w:lang w:val="es-ES"/>
        </w:rPr>
      </w:pPr>
    </w:p>
    <w:tbl>
      <w:tblPr>
        <w:tblStyle w:val="Tablaconcuadrcula"/>
        <w:tblW w:w="10065" w:type="dxa"/>
        <w:tblInd w:w="-856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D75A54" w:rsidRPr="006D2151" w:rsidTr="00A53558">
        <w:trPr>
          <w:tblHeader/>
        </w:trPr>
        <w:tc>
          <w:tcPr>
            <w:tcW w:w="10065" w:type="dxa"/>
            <w:gridSpan w:val="2"/>
            <w:shd w:val="clear" w:color="auto" w:fill="009999"/>
          </w:tcPr>
          <w:p w:rsidR="00D75A54" w:rsidRPr="006D2151" w:rsidRDefault="00D75A54" w:rsidP="00A53558">
            <w:pPr>
              <w:jc w:val="center"/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</w:p>
          <w:p w:rsidR="00D75A54" w:rsidRPr="006D2151" w:rsidRDefault="00D75A54" w:rsidP="00A535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D215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Asuntos tratados</w:t>
            </w:r>
          </w:p>
          <w:p w:rsidR="00D75A54" w:rsidRPr="006D2151" w:rsidRDefault="00D75A54" w:rsidP="00A535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D75A54" w:rsidRPr="006D2151" w:rsidTr="00A53558">
        <w:trPr>
          <w:tblHeader/>
        </w:trPr>
        <w:tc>
          <w:tcPr>
            <w:tcW w:w="3828" w:type="dxa"/>
            <w:shd w:val="clear" w:color="auto" w:fill="009999"/>
          </w:tcPr>
          <w:p w:rsidR="00D75A54" w:rsidRPr="006D2151" w:rsidRDefault="00D75A54" w:rsidP="00A53558">
            <w:pPr>
              <w:tabs>
                <w:tab w:val="left" w:pos="3360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D215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Tema</w:t>
            </w:r>
          </w:p>
        </w:tc>
        <w:tc>
          <w:tcPr>
            <w:tcW w:w="6237" w:type="dxa"/>
            <w:shd w:val="clear" w:color="auto" w:fill="009999"/>
          </w:tcPr>
          <w:p w:rsidR="00D75A54" w:rsidRPr="006D2151" w:rsidRDefault="00190C78" w:rsidP="00A535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D215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Desarrollo</w:t>
            </w:r>
          </w:p>
        </w:tc>
      </w:tr>
      <w:tr w:rsidR="00D75A54" w:rsidRPr="006D2151" w:rsidTr="00DF6C05">
        <w:trPr>
          <w:trHeight w:val="1811"/>
        </w:trPr>
        <w:tc>
          <w:tcPr>
            <w:tcW w:w="3828" w:type="dxa"/>
          </w:tcPr>
          <w:p w:rsidR="00D75A54" w:rsidRPr="006D2151" w:rsidRDefault="00AF0243" w:rsidP="00190C7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2151">
              <w:rPr>
                <w:rFonts w:ascii="Arial" w:hAnsi="Arial" w:cs="Arial"/>
                <w:bCs/>
                <w:sz w:val="22"/>
                <w:szCs w:val="22"/>
              </w:rPr>
              <w:t>Lista de Asistencia</w:t>
            </w:r>
          </w:p>
          <w:p w:rsidR="00AF0243" w:rsidRPr="006D2151" w:rsidRDefault="00AF0243" w:rsidP="00190C7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2151">
              <w:rPr>
                <w:rFonts w:ascii="Arial" w:hAnsi="Arial" w:cs="Arial"/>
                <w:bCs/>
                <w:sz w:val="22"/>
                <w:szCs w:val="22"/>
              </w:rPr>
              <w:t>Declaración del quórum legal, así como la hora de inicio de la reunión de trabajo.</w:t>
            </w:r>
          </w:p>
          <w:p w:rsidR="00AF0243" w:rsidRPr="006D2151" w:rsidRDefault="00AF0243" w:rsidP="00190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151">
              <w:rPr>
                <w:rFonts w:ascii="Arial" w:hAnsi="Arial" w:cs="Arial"/>
                <w:bCs/>
                <w:sz w:val="22"/>
                <w:szCs w:val="22"/>
              </w:rPr>
              <w:t>Lectura y aprobación de los asuntos a tratar</w:t>
            </w:r>
          </w:p>
        </w:tc>
        <w:tc>
          <w:tcPr>
            <w:tcW w:w="6237" w:type="dxa"/>
          </w:tcPr>
          <w:p w:rsidR="004A4C50" w:rsidRPr="006D2151" w:rsidRDefault="00AF0243" w:rsidP="008464C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2151">
              <w:rPr>
                <w:rFonts w:ascii="Arial" w:hAnsi="Arial" w:cs="Arial"/>
                <w:bCs/>
                <w:sz w:val="22"/>
                <w:szCs w:val="22"/>
              </w:rPr>
              <w:t>La titular del Área Coordinadora de Archivos realizó el pase de lista correspondiente para lo cual declaró la existencia de quórum l</w:t>
            </w:r>
            <w:r w:rsidR="006D2151">
              <w:rPr>
                <w:rFonts w:ascii="Arial" w:hAnsi="Arial" w:cs="Arial"/>
                <w:bCs/>
                <w:sz w:val="22"/>
                <w:szCs w:val="22"/>
              </w:rPr>
              <w:t>egal, dando inicio a la reunión a las diez horas con cuatro minutos</w:t>
            </w:r>
          </w:p>
          <w:p w:rsidR="00AF0243" w:rsidRPr="006D2151" w:rsidRDefault="00AF0243" w:rsidP="008464C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F0243" w:rsidRDefault="00AF0243" w:rsidP="008464C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2151">
              <w:rPr>
                <w:rFonts w:ascii="Arial" w:hAnsi="Arial" w:cs="Arial"/>
                <w:bCs/>
                <w:sz w:val="22"/>
                <w:szCs w:val="22"/>
              </w:rPr>
              <w:t>Por unanimidad de votos se aprobaron los asuntos a tratar en la primer</w:t>
            </w:r>
            <w:r w:rsidR="006D2151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6D2151">
              <w:rPr>
                <w:rFonts w:ascii="Arial" w:hAnsi="Arial" w:cs="Arial"/>
                <w:bCs/>
                <w:sz w:val="22"/>
                <w:szCs w:val="22"/>
              </w:rPr>
              <w:t xml:space="preserve"> reunión</w:t>
            </w:r>
            <w:r w:rsidR="007958C9">
              <w:rPr>
                <w:rFonts w:ascii="Arial" w:hAnsi="Arial" w:cs="Arial"/>
                <w:bCs/>
                <w:sz w:val="22"/>
                <w:szCs w:val="22"/>
              </w:rPr>
              <w:t xml:space="preserve"> de trabajo</w:t>
            </w:r>
            <w:r w:rsidRPr="006D2151">
              <w:rPr>
                <w:rFonts w:ascii="Arial" w:hAnsi="Arial" w:cs="Arial"/>
                <w:bCs/>
                <w:sz w:val="22"/>
                <w:szCs w:val="22"/>
              </w:rPr>
              <w:t xml:space="preserve"> extraordinaria del Grupo Interdiscipli</w:t>
            </w:r>
            <w:r w:rsidR="006D2151">
              <w:rPr>
                <w:rFonts w:ascii="Arial" w:hAnsi="Arial" w:cs="Arial"/>
                <w:bCs/>
                <w:sz w:val="22"/>
                <w:szCs w:val="22"/>
              </w:rPr>
              <w:t>nario, siendo estos:</w:t>
            </w:r>
          </w:p>
          <w:p w:rsidR="006D2151" w:rsidRDefault="006D2151" w:rsidP="006D215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Revisión y </w:t>
            </w:r>
            <w:r w:rsidR="0032059C">
              <w:rPr>
                <w:rFonts w:ascii="Arial" w:hAnsi="Arial" w:cs="Arial"/>
                <w:bCs/>
              </w:rPr>
              <w:t xml:space="preserve">en </w:t>
            </w:r>
            <w:r w:rsidR="000630B9">
              <w:rPr>
                <w:rFonts w:ascii="Arial" w:hAnsi="Arial" w:cs="Arial"/>
                <w:bCs/>
              </w:rPr>
              <w:t xml:space="preserve">su </w:t>
            </w:r>
            <w:r w:rsidR="00873265">
              <w:rPr>
                <w:rFonts w:ascii="Arial" w:hAnsi="Arial" w:cs="Arial"/>
                <w:bCs/>
              </w:rPr>
              <w:t xml:space="preserve">caso formulación </w:t>
            </w:r>
            <w:r w:rsidR="008B011F">
              <w:rPr>
                <w:rFonts w:ascii="Arial" w:hAnsi="Arial" w:cs="Arial"/>
                <w:bCs/>
              </w:rPr>
              <w:t xml:space="preserve">de </w:t>
            </w:r>
            <w:r w:rsidR="004B3E02">
              <w:rPr>
                <w:rFonts w:ascii="Arial" w:hAnsi="Arial" w:cs="Arial"/>
                <w:bCs/>
              </w:rPr>
              <w:t>opiniones sobre los valores documentales,</w:t>
            </w:r>
            <w:r w:rsidRPr="006D2151">
              <w:rPr>
                <w:rFonts w:ascii="Arial" w:hAnsi="Arial" w:cs="Arial"/>
                <w:bCs/>
              </w:rPr>
              <w:t xml:space="preserve"> plazo</w:t>
            </w:r>
            <w:r w:rsidR="004B3E02">
              <w:rPr>
                <w:rFonts w:ascii="Arial" w:hAnsi="Arial" w:cs="Arial"/>
                <w:bCs/>
              </w:rPr>
              <w:t xml:space="preserve">s de vigencia y disposición documental señalados por las Áreas productoras de la documentación en las Fichas </w:t>
            </w:r>
            <w:r w:rsidR="00C6283A">
              <w:rPr>
                <w:rFonts w:ascii="Arial" w:hAnsi="Arial" w:cs="Arial"/>
                <w:bCs/>
              </w:rPr>
              <w:t xml:space="preserve">Técnicas </w:t>
            </w:r>
            <w:r w:rsidR="00CA1A33">
              <w:rPr>
                <w:rFonts w:ascii="Arial" w:hAnsi="Arial" w:cs="Arial"/>
                <w:bCs/>
              </w:rPr>
              <w:t>de Valoración</w:t>
            </w:r>
            <w:r w:rsidRPr="006D2151">
              <w:rPr>
                <w:rFonts w:ascii="Arial" w:hAnsi="Arial" w:cs="Arial"/>
                <w:bCs/>
              </w:rPr>
              <w:t xml:space="preserve"> Documental (FTVD). </w:t>
            </w:r>
          </w:p>
          <w:p w:rsidR="006D2151" w:rsidRDefault="006D2151" w:rsidP="006D215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</w:rPr>
            </w:pPr>
            <w:r w:rsidRPr="006D2151">
              <w:rPr>
                <w:rFonts w:ascii="Arial" w:hAnsi="Arial" w:cs="Arial"/>
                <w:bCs/>
              </w:rPr>
              <w:t xml:space="preserve">Lectura de los acuerdos del Grupo Interdisciplinario. </w:t>
            </w:r>
          </w:p>
          <w:p w:rsidR="006D2151" w:rsidRPr="006D2151" w:rsidRDefault="006D2151" w:rsidP="006D215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</w:rPr>
            </w:pPr>
            <w:r w:rsidRPr="006D2151">
              <w:rPr>
                <w:rFonts w:ascii="Arial" w:hAnsi="Arial" w:cs="Arial"/>
                <w:bCs/>
              </w:rPr>
              <w:t>Cierre de la reunión de trabajo</w:t>
            </w:r>
            <w:r>
              <w:rPr>
                <w:rFonts w:ascii="Arial" w:hAnsi="Arial" w:cs="Arial"/>
                <w:bCs/>
              </w:rPr>
              <w:t>.</w:t>
            </w:r>
            <w:r w:rsidRPr="006D2151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D75A54" w:rsidRPr="006D2151" w:rsidTr="00A53558">
        <w:tc>
          <w:tcPr>
            <w:tcW w:w="3828" w:type="dxa"/>
          </w:tcPr>
          <w:p w:rsidR="00600BAC" w:rsidRPr="006D2151" w:rsidRDefault="00CB3980" w:rsidP="00CB398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151">
              <w:rPr>
                <w:rFonts w:ascii="Arial" w:hAnsi="Arial" w:cs="Arial"/>
                <w:bCs/>
                <w:sz w:val="22"/>
                <w:szCs w:val="22"/>
              </w:rPr>
              <w:t xml:space="preserve">Revisión </w:t>
            </w:r>
            <w:r w:rsidR="002868AC" w:rsidRPr="006D2151">
              <w:rPr>
                <w:rFonts w:ascii="Arial" w:hAnsi="Arial" w:cs="Arial"/>
                <w:bCs/>
                <w:sz w:val="22"/>
                <w:szCs w:val="22"/>
              </w:rPr>
              <w:t>y en su caso</w:t>
            </w:r>
            <w:r w:rsidR="00CA61FD" w:rsidRPr="006D215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868AC" w:rsidRPr="006D2151">
              <w:rPr>
                <w:rFonts w:ascii="Arial" w:hAnsi="Arial" w:cs="Arial"/>
                <w:bCs/>
                <w:sz w:val="22"/>
                <w:szCs w:val="22"/>
              </w:rPr>
              <w:t>formulación de opiniones</w:t>
            </w:r>
            <w:r w:rsidR="00CA61FD" w:rsidRPr="006D215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868AC" w:rsidRPr="006D2151">
              <w:rPr>
                <w:rFonts w:ascii="Arial" w:hAnsi="Arial" w:cs="Arial"/>
                <w:bCs/>
                <w:sz w:val="22"/>
                <w:szCs w:val="22"/>
              </w:rPr>
              <w:t>sobre los valores</w:t>
            </w:r>
            <w:r w:rsidR="00CA61FD" w:rsidRPr="006D21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868AC" w:rsidRPr="006D2151">
              <w:rPr>
                <w:rFonts w:ascii="Arial" w:hAnsi="Arial" w:cs="Arial"/>
                <w:bCs/>
                <w:sz w:val="22"/>
                <w:szCs w:val="22"/>
              </w:rPr>
              <w:t>documentales, plazos de</w:t>
            </w:r>
            <w:r w:rsidR="00CA61FD" w:rsidRPr="006D215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868AC" w:rsidRPr="006D2151">
              <w:rPr>
                <w:rFonts w:ascii="Arial" w:hAnsi="Arial" w:cs="Arial"/>
                <w:bCs/>
                <w:sz w:val="22"/>
                <w:szCs w:val="22"/>
              </w:rPr>
              <w:t>vigencia y disposición</w:t>
            </w:r>
            <w:r w:rsidR="00CA61FD" w:rsidRPr="006D215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868AC" w:rsidRPr="006D2151">
              <w:rPr>
                <w:rFonts w:ascii="Arial" w:hAnsi="Arial" w:cs="Arial"/>
                <w:bCs/>
                <w:sz w:val="22"/>
                <w:szCs w:val="22"/>
              </w:rPr>
              <w:t>documental señalados por</w:t>
            </w:r>
            <w:r w:rsidR="00CA61FD" w:rsidRPr="006D2151">
              <w:rPr>
                <w:rFonts w:ascii="Arial" w:hAnsi="Arial" w:cs="Arial"/>
                <w:bCs/>
                <w:sz w:val="22"/>
                <w:szCs w:val="22"/>
              </w:rPr>
              <w:t xml:space="preserve"> las Áreas </w:t>
            </w:r>
            <w:r w:rsidR="002868AC" w:rsidRPr="006D2151">
              <w:rPr>
                <w:rFonts w:ascii="Arial" w:hAnsi="Arial" w:cs="Arial"/>
                <w:bCs/>
                <w:sz w:val="22"/>
                <w:szCs w:val="22"/>
              </w:rPr>
              <w:t>productoras de</w:t>
            </w:r>
            <w:r w:rsidR="00CA61FD" w:rsidRPr="006D2151">
              <w:rPr>
                <w:rFonts w:ascii="Arial" w:hAnsi="Arial" w:cs="Arial"/>
                <w:bCs/>
                <w:sz w:val="22"/>
                <w:szCs w:val="22"/>
              </w:rPr>
              <w:t xml:space="preserve"> la </w:t>
            </w:r>
            <w:r w:rsidR="002868AC" w:rsidRPr="006D2151">
              <w:rPr>
                <w:rFonts w:ascii="Arial" w:hAnsi="Arial" w:cs="Arial"/>
                <w:bCs/>
                <w:sz w:val="22"/>
                <w:szCs w:val="22"/>
              </w:rPr>
              <w:lastRenderedPageBreak/>
              <w:t>documentación en las</w:t>
            </w:r>
            <w:r w:rsidR="00CA61FD" w:rsidRPr="006D215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868AC" w:rsidRPr="006D2151">
              <w:rPr>
                <w:rFonts w:ascii="Arial" w:hAnsi="Arial" w:cs="Arial"/>
                <w:bCs/>
                <w:sz w:val="22"/>
                <w:szCs w:val="22"/>
              </w:rPr>
              <w:t>Fichas Técnicas de</w:t>
            </w:r>
            <w:r w:rsidR="00CA61FD" w:rsidRPr="006D215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868AC" w:rsidRPr="006D2151">
              <w:rPr>
                <w:rFonts w:ascii="Arial" w:hAnsi="Arial" w:cs="Arial"/>
                <w:bCs/>
                <w:sz w:val="22"/>
                <w:szCs w:val="22"/>
              </w:rPr>
              <w:t>Valoración Documental</w:t>
            </w:r>
            <w:r w:rsidR="00CA61FD" w:rsidRPr="006D2151">
              <w:rPr>
                <w:rFonts w:ascii="Arial" w:hAnsi="Arial" w:cs="Arial"/>
                <w:bCs/>
                <w:sz w:val="22"/>
                <w:szCs w:val="22"/>
              </w:rPr>
              <w:t xml:space="preserve"> (FTVD).</w:t>
            </w:r>
          </w:p>
          <w:p w:rsidR="00D75A54" w:rsidRPr="006D2151" w:rsidRDefault="00D75A54" w:rsidP="00A5355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</w:tcPr>
          <w:p w:rsidR="00520BD7" w:rsidRDefault="002E15A0" w:rsidP="00F102A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Toda vez que las Fichas Técnicas de Valoración Documental fueron revisadas y analizadas, el </w:t>
            </w:r>
            <w:r w:rsidR="006D2151">
              <w:rPr>
                <w:rFonts w:ascii="Arial" w:hAnsi="Arial" w:cs="Arial"/>
                <w:bCs/>
                <w:sz w:val="22"/>
                <w:szCs w:val="22"/>
              </w:rPr>
              <w:t>Grupo Interdisciplinario emitió opiniones a cada una de las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Fichas</w:t>
            </w:r>
            <w:r w:rsidR="00956866">
              <w:rPr>
                <w:rFonts w:ascii="Arial" w:hAnsi="Arial" w:cs="Arial"/>
                <w:bCs/>
                <w:sz w:val="22"/>
                <w:szCs w:val="22"/>
              </w:rPr>
              <w:t xml:space="preserve">, mismas que se encuentran contenidas en el </w:t>
            </w:r>
            <w:r w:rsidR="00956866" w:rsidRPr="008B011F">
              <w:rPr>
                <w:rFonts w:ascii="Arial" w:hAnsi="Arial" w:cs="Arial"/>
                <w:b/>
                <w:bCs/>
                <w:sz w:val="22"/>
                <w:szCs w:val="22"/>
              </w:rPr>
              <w:t>anexo 02</w:t>
            </w:r>
            <w:r w:rsidR="00956866">
              <w:rPr>
                <w:rFonts w:ascii="Arial" w:hAnsi="Arial" w:cs="Arial"/>
                <w:bCs/>
                <w:sz w:val="22"/>
                <w:szCs w:val="22"/>
              </w:rPr>
              <w:t xml:space="preserve"> de la presente minuta.</w:t>
            </w:r>
          </w:p>
          <w:p w:rsidR="000C6D29" w:rsidRPr="006D2151" w:rsidRDefault="00956866" w:rsidP="00F102A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En general las opiniones versaron sobre </w:t>
            </w:r>
            <w:r w:rsidR="00F102AD">
              <w:rPr>
                <w:rFonts w:ascii="Arial" w:hAnsi="Arial" w:cs="Arial"/>
                <w:bCs/>
                <w:sz w:val="22"/>
                <w:szCs w:val="22"/>
              </w:rPr>
              <w:t xml:space="preserve">los plazos de </w:t>
            </w:r>
            <w:r w:rsidR="00ED7C05" w:rsidRPr="006D2151">
              <w:rPr>
                <w:rFonts w:ascii="Arial" w:hAnsi="Arial" w:cs="Arial"/>
                <w:bCs/>
                <w:sz w:val="22"/>
                <w:szCs w:val="22"/>
              </w:rPr>
              <w:t>conservación</w:t>
            </w:r>
            <w:r w:rsidR="00F102AD">
              <w:rPr>
                <w:rFonts w:ascii="Arial" w:hAnsi="Arial" w:cs="Arial"/>
                <w:bCs/>
                <w:sz w:val="22"/>
                <w:szCs w:val="22"/>
              </w:rPr>
              <w:t xml:space="preserve"> y vigencia documental, los valores secundarios y la disposición final.</w:t>
            </w:r>
          </w:p>
        </w:tc>
      </w:tr>
      <w:tr w:rsidR="00D75A54" w:rsidRPr="006D2151" w:rsidTr="00A53558">
        <w:tc>
          <w:tcPr>
            <w:tcW w:w="3828" w:type="dxa"/>
          </w:tcPr>
          <w:p w:rsidR="00600BAC" w:rsidRPr="006D2151" w:rsidRDefault="00CA61FD" w:rsidP="00CB39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2151">
              <w:rPr>
                <w:rFonts w:ascii="Arial" w:hAnsi="Arial" w:cs="Arial"/>
                <w:sz w:val="22"/>
                <w:szCs w:val="22"/>
              </w:rPr>
              <w:lastRenderedPageBreak/>
              <w:t>Lectura de los acuerdos del Grupo Interdisciplinario.</w:t>
            </w:r>
          </w:p>
          <w:p w:rsidR="00D75A54" w:rsidRPr="006D2151" w:rsidRDefault="00D75A54" w:rsidP="00A5355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</w:tcPr>
          <w:p w:rsidR="003178B0" w:rsidRDefault="00520BD7" w:rsidP="00490A3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Finalmente, los acuerdos tomados por el Grupo son los siguientes:</w:t>
            </w:r>
          </w:p>
          <w:p w:rsidR="00520BD7" w:rsidRDefault="00520BD7" w:rsidP="00520BD7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 Área Coordinadora integrará a las Fichas T</w:t>
            </w:r>
            <w:r w:rsidR="005969D1">
              <w:rPr>
                <w:rFonts w:ascii="Arial" w:hAnsi="Arial" w:cs="Arial"/>
                <w:bCs/>
              </w:rPr>
              <w:t>écnicas de Valoración Documental</w:t>
            </w:r>
            <w:r>
              <w:rPr>
                <w:rFonts w:ascii="Arial" w:hAnsi="Arial" w:cs="Arial"/>
                <w:bCs/>
              </w:rPr>
              <w:t xml:space="preserve"> las opiniones emitidas por el G</w:t>
            </w:r>
            <w:r w:rsidR="00FD4096">
              <w:rPr>
                <w:rFonts w:ascii="Arial" w:hAnsi="Arial" w:cs="Arial"/>
                <w:bCs/>
              </w:rPr>
              <w:t xml:space="preserve">rupo </w:t>
            </w:r>
            <w:r>
              <w:rPr>
                <w:rFonts w:ascii="Arial" w:hAnsi="Arial" w:cs="Arial"/>
                <w:bCs/>
              </w:rPr>
              <w:t>I</w:t>
            </w:r>
            <w:r w:rsidR="00FD4096">
              <w:rPr>
                <w:rFonts w:ascii="Arial" w:hAnsi="Arial" w:cs="Arial"/>
                <w:bCs/>
              </w:rPr>
              <w:t>nterdisciplinario</w:t>
            </w:r>
            <w:r>
              <w:rPr>
                <w:rFonts w:ascii="Arial" w:hAnsi="Arial" w:cs="Arial"/>
                <w:bCs/>
              </w:rPr>
              <w:t xml:space="preserve"> contenidas en el anexo 02.</w:t>
            </w:r>
          </w:p>
          <w:p w:rsidR="00520BD7" w:rsidRDefault="00520BD7" w:rsidP="00520BD7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La Dirección de Comunicación, Capacitación Evaluación, Archivo y Datos Personales enviará al </w:t>
            </w:r>
            <w:r w:rsidR="001D1923">
              <w:rPr>
                <w:rFonts w:ascii="Arial" w:hAnsi="Arial" w:cs="Arial"/>
                <w:bCs/>
              </w:rPr>
              <w:t xml:space="preserve">Área </w:t>
            </w:r>
            <w:r>
              <w:rPr>
                <w:rFonts w:ascii="Arial" w:hAnsi="Arial" w:cs="Arial"/>
                <w:bCs/>
              </w:rPr>
              <w:t>C</w:t>
            </w:r>
            <w:r w:rsidR="001D1923">
              <w:rPr>
                <w:rFonts w:ascii="Arial" w:hAnsi="Arial" w:cs="Arial"/>
                <w:bCs/>
              </w:rPr>
              <w:t xml:space="preserve">oordinadora de </w:t>
            </w:r>
            <w:r>
              <w:rPr>
                <w:rFonts w:ascii="Arial" w:hAnsi="Arial" w:cs="Arial"/>
                <w:bCs/>
              </w:rPr>
              <w:t>A</w:t>
            </w:r>
            <w:r w:rsidR="001D1923">
              <w:rPr>
                <w:rFonts w:ascii="Arial" w:hAnsi="Arial" w:cs="Arial"/>
                <w:bCs/>
              </w:rPr>
              <w:t>rchivos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20BD7">
              <w:rPr>
                <w:rFonts w:ascii="Arial" w:hAnsi="Arial" w:cs="Arial"/>
                <w:bCs/>
              </w:rPr>
              <w:t>el tex</w:t>
            </w:r>
            <w:r>
              <w:rPr>
                <w:rFonts w:ascii="Arial" w:hAnsi="Arial" w:cs="Arial"/>
                <w:bCs/>
              </w:rPr>
              <w:t xml:space="preserve">to de cada uno de los artículos </w:t>
            </w:r>
            <w:r w:rsidRPr="00520BD7">
              <w:rPr>
                <w:rFonts w:ascii="Arial" w:hAnsi="Arial" w:cs="Arial"/>
                <w:bCs/>
              </w:rPr>
              <w:t xml:space="preserve">que mencionan </w:t>
            </w:r>
            <w:r>
              <w:rPr>
                <w:rFonts w:ascii="Arial" w:hAnsi="Arial" w:cs="Arial"/>
                <w:bCs/>
              </w:rPr>
              <w:t xml:space="preserve">en el rubro sobre </w:t>
            </w:r>
            <w:r w:rsidRPr="00520BD7">
              <w:rPr>
                <w:rFonts w:ascii="Arial" w:hAnsi="Arial" w:cs="Arial"/>
                <w:bCs/>
              </w:rPr>
              <w:t>la función por la cua</w:t>
            </w:r>
            <w:r>
              <w:rPr>
                <w:rFonts w:ascii="Arial" w:hAnsi="Arial" w:cs="Arial"/>
                <w:bCs/>
              </w:rPr>
              <w:t>l se genera la serie documental de las fichas 2C.3, 10C.5, 3S.3, 3S.9, 3S.10</w:t>
            </w:r>
            <w:r w:rsidR="00C9053E">
              <w:rPr>
                <w:rFonts w:ascii="Arial" w:hAnsi="Arial" w:cs="Arial"/>
                <w:bCs/>
              </w:rPr>
              <w:t>.</w:t>
            </w:r>
          </w:p>
          <w:p w:rsidR="00C9053E" w:rsidRDefault="00C9053E" w:rsidP="001D192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Dirección de Tecnologías de Transparencia</w:t>
            </w:r>
            <w:r w:rsidR="001D1923" w:rsidRPr="001D1923">
              <w:rPr>
                <w:rFonts w:ascii="Arial" w:hAnsi="Arial" w:cs="Arial"/>
                <w:bCs/>
              </w:rPr>
              <w:t xml:space="preserve"> enviará a</w:t>
            </w:r>
            <w:r w:rsidR="001D1923">
              <w:rPr>
                <w:rFonts w:ascii="Arial" w:hAnsi="Arial" w:cs="Arial"/>
                <w:bCs/>
              </w:rPr>
              <w:t xml:space="preserve">l Área Coordinadora de </w:t>
            </w:r>
            <w:r w:rsidR="001D1923" w:rsidRPr="001D1923">
              <w:rPr>
                <w:rFonts w:ascii="Arial" w:hAnsi="Arial" w:cs="Arial"/>
                <w:bCs/>
              </w:rPr>
              <w:t>A</w:t>
            </w:r>
            <w:r w:rsidR="001D1923">
              <w:rPr>
                <w:rFonts w:ascii="Arial" w:hAnsi="Arial" w:cs="Arial"/>
                <w:bCs/>
              </w:rPr>
              <w:t>rchivos</w:t>
            </w:r>
            <w:r w:rsidR="001D1923" w:rsidRPr="001D1923">
              <w:rPr>
                <w:rFonts w:ascii="Arial" w:hAnsi="Arial" w:cs="Arial"/>
                <w:bCs/>
              </w:rPr>
              <w:t xml:space="preserve"> la</w:t>
            </w:r>
            <w:r w:rsidR="001D1923">
              <w:rPr>
                <w:rFonts w:ascii="Arial" w:hAnsi="Arial" w:cs="Arial"/>
                <w:bCs/>
              </w:rPr>
              <w:t xml:space="preserve"> información del rubro tipología documental de las fichas que ha elaborado.</w:t>
            </w:r>
          </w:p>
          <w:p w:rsidR="00520BD7" w:rsidRPr="00FB294E" w:rsidRDefault="007958C9" w:rsidP="00490A3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 Área Coordinadora de Archivos será la responsable de integrar el Catálogo de Disposición Documental</w:t>
            </w:r>
            <w:r w:rsidR="001D1923">
              <w:rPr>
                <w:rFonts w:ascii="Arial" w:hAnsi="Arial" w:cs="Arial"/>
                <w:bCs/>
              </w:rPr>
              <w:t xml:space="preserve"> con base en las Fichas Técnicas de Valoración D</w:t>
            </w:r>
            <w:r w:rsidR="00612D65">
              <w:rPr>
                <w:rFonts w:ascii="Arial" w:hAnsi="Arial" w:cs="Arial"/>
                <w:bCs/>
              </w:rPr>
              <w:t>ocumental y enviarlo a cada uno</w:t>
            </w:r>
            <w:r w:rsidR="00001109">
              <w:rPr>
                <w:rFonts w:ascii="Arial" w:hAnsi="Arial" w:cs="Arial"/>
                <w:bCs/>
              </w:rPr>
              <w:t xml:space="preserve"> y cada una de la</w:t>
            </w:r>
            <w:r w:rsidR="00612D65">
              <w:rPr>
                <w:rFonts w:ascii="Arial" w:hAnsi="Arial" w:cs="Arial"/>
                <w:bCs/>
              </w:rPr>
              <w:t>s integrantes del Grupo Interdisciplinario para su revisión y análisis.</w:t>
            </w:r>
          </w:p>
        </w:tc>
      </w:tr>
      <w:tr w:rsidR="00D75A54" w:rsidRPr="006D2151" w:rsidTr="00A53558">
        <w:tc>
          <w:tcPr>
            <w:tcW w:w="3828" w:type="dxa"/>
          </w:tcPr>
          <w:p w:rsidR="00D75A54" w:rsidRPr="006D2151" w:rsidRDefault="00D75A54" w:rsidP="00A5355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151">
              <w:rPr>
                <w:rFonts w:ascii="Arial" w:hAnsi="Arial" w:cs="Arial"/>
                <w:sz w:val="22"/>
                <w:szCs w:val="22"/>
              </w:rPr>
              <w:t>Clausura de la reunión</w:t>
            </w:r>
          </w:p>
        </w:tc>
        <w:tc>
          <w:tcPr>
            <w:tcW w:w="6237" w:type="dxa"/>
          </w:tcPr>
          <w:p w:rsidR="00D75A54" w:rsidRPr="006D2151" w:rsidRDefault="00D75A54" w:rsidP="00CB398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2151">
              <w:rPr>
                <w:rFonts w:ascii="Arial" w:hAnsi="Arial" w:cs="Arial"/>
                <w:bCs/>
                <w:sz w:val="22"/>
                <w:szCs w:val="22"/>
              </w:rPr>
              <w:t>Por último</w:t>
            </w:r>
            <w:r w:rsidR="004D6D00" w:rsidRPr="006D2151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6D2151">
              <w:rPr>
                <w:rFonts w:ascii="Arial" w:hAnsi="Arial" w:cs="Arial"/>
                <w:bCs/>
                <w:sz w:val="22"/>
                <w:szCs w:val="22"/>
              </w:rPr>
              <w:t xml:space="preserve"> la Titular del </w:t>
            </w:r>
            <w:r w:rsidR="00387590" w:rsidRPr="006D2151">
              <w:rPr>
                <w:rFonts w:ascii="Arial" w:hAnsi="Arial" w:cs="Arial"/>
                <w:bCs/>
                <w:sz w:val="22"/>
                <w:szCs w:val="22"/>
              </w:rPr>
              <w:t>Área Coordinadora de Archivos</w:t>
            </w:r>
            <w:r w:rsidRPr="006D2151">
              <w:rPr>
                <w:rFonts w:ascii="Arial" w:hAnsi="Arial" w:cs="Arial"/>
                <w:bCs/>
                <w:sz w:val="22"/>
                <w:szCs w:val="22"/>
              </w:rPr>
              <w:t xml:space="preserve"> procedió a </w:t>
            </w:r>
            <w:r w:rsidR="00CB3980" w:rsidRPr="006D2151">
              <w:rPr>
                <w:rFonts w:ascii="Arial" w:hAnsi="Arial" w:cs="Arial"/>
                <w:bCs/>
                <w:sz w:val="22"/>
                <w:szCs w:val="22"/>
              </w:rPr>
              <w:t xml:space="preserve">clausurar la reunión para lo cual dijo siguiente, “Una vez que hemos agotado todos los temas previstos para esta reunión, siendo </w:t>
            </w:r>
            <w:r w:rsidR="002868AC" w:rsidRPr="006D2151">
              <w:rPr>
                <w:rFonts w:ascii="Arial" w:hAnsi="Arial" w:cs="Arial"/>
                <w:bCs/>
                <w:sz w:val="22"/>
                <w:szCs w:val="22"/>
              </w:rPr>
              <w:t>las trece</w:t>
            </w:r>
            <w:r w:rsidR="00CB3980" w:rsidRPr="006D2151">
              <w:rPr>
                <w:rFonts w:ascii="Arial" w:hAnsi="Arial" w:cs="Arial"/>
                <w:bCs/>
                <w:sz w:val="22"/>
                <w:szCs w:val="22"/>
              </w:rPr>
              <w:t xml:space="preserve"> horas con catorce minutos del </w:t>
            </w:r>
            <w:r w:rsidR="000630B9">
              <w:rPr>
                <w:rFonts w:ascii="Arial" w:hAnsi="Arial" w:cs="Arial"/>
                <w:bCs/>
                <w:sz w:val="22"/>
                <w:szCs w:val="22"/>
              </w:rPr>
              <w:t xml:space="preserve">día </w:t>
            </w:r>
            <w:r w:rsidR="00CB3980" w:rsidRPr="006D2151">
              <w:rPr>
                <w:rFonts w:ascii="Arial" w:hAnsi="Arial" w:cs="Arial"/>
                <w:bCs/>
                <w:sz w:val="22"/>
                <w:szCs w:val="22"/>
              </w:rPr>
              <w:t xml:space="preserve">11 de enero del 2021, damos por concluida la </w:t>
            </w:r>
            <w:r w:rsidR="002868AC" w:rsidRPr="006D2151">
              <w:rPr>
                <w:rFonts w:ascii="Arial" w:hAnsi="Arial" w:cs="Arial"/>
                <w:bCs/>
                <w:sz w:val="22"/>
                <w:szCs w:val="22"/>
              </w:rPr>
              <w:t>primera reunión</w:t>
            </w:r>
            <w:r w:rsidR="00CB2181">
              <w:rPr>
                <w:rFonts w:ascii="Arial" w:hAnsi="Arial" w:cs="Arial"/>
                <w:bCs/>
                <w:sz w:val="22"/>
                <w:szCs w:val="22"/>
              </w:rPr>
              <w:t xml:space="preserve"> de trabajo</w:t>
            </w:r>
            <w:r w:rsidR="002868AC" w:rsidRPr="006D2151">
              <w:rPr>
                <w:rFonts w:ascii="Arial" w:hAnsi="Arial" w:cs="Arial"/>
                <w:bCs/>
                <w:sz w:val="22"/>
                <w:szCs w:val="22"/>
              </w:rPr>
              <w:t xml:space="preserve"> extraordinaria</w:t>
            </w:r>
            <w:r w:rsidR="00CB3980" w:rsidRPr="006D2151">
              <w:rPr>
                <w:rFonts w:ascii="Arial" w:hAnsi="Arial" w:cs="Arial"/>
                <w:bCs/>
                <w:sz w:val="22"/>
                <w:szCs w:val="22"/>
              </w:rPr>
              <w:t xml:space="preserve"> 2021 del Grupo Interdisciplinario. Muchas gracias por su asistencia”.</w:t>
            </w:r>
          </w:p>
        </w:tc>
      </w:tr>
    </w:tbl>
    <w:p w:rsidR="00505074" w:rsidRDefault="00505074">
      <w:pPr>
        <w:rPr>
          <w:lang w:val="es-ES"/>
        </w:rPr>
      </w:pPr>
    </w:p>
    <w:p w:rsidR="00096E02" w:rsidRDefault="00096E02">
      <w:pPr>
        <w:rPr>
          <w:lang w:val="es-ES"/>
        </w:rPr>
      </w:pPr>
    </w:p>
    <w:p w:rsidR="00096E02" w:rsidRDefault="00096E02">
      <w:pPr>
        <w:rPr>
          <w:lang w:val="es-ES"/>
        </w:rPr>
      </w:pPr>
    </w:p>
    <w:p w:rsidR="00096E02" w:rsidRDefault="00096E02">
      <w:pPr>
        <w:rPr>
          <w:lang w:val="es-ES"/>
        </w:rPr>
      </w:pPr>
    </w:p>
    <w:p w:rsidR="00096E02" w:rsidRDefault="00096E02">
      <w:pPr>
        <w:rPr>
          <w:lang w:val="es-ES"/>
        </w:rPr>
      </w:pPr>
    </w:p>
    <w:p w:rsidR="00096E02" w:rsidRDefault="00096E02">
      <w:pPr>
        <w:rPr>
          <w:lang w:val="es-ES"/>
        </w:rPr>
      </w:pPr>
    </w:p>
    <w:p w:rsidR="00096E02" w:rsidRDefault="00096E02">
      <w:pPr>
        <w:rPr>
          <w:lang w:val="es-ES"/>
        </w:rPr>
      </w:pPr>
    </w:p>
    <w:p w:rsidR="00096E02" w:rsidRDefault="00096E02">
      <w:pPr>
        <w:rPr>
          <w:lang w:val="es-ES"/>
        </w:rPr>
      </w:pPr>
    </w:p>
    <w:p w:rsidR="00096E02" w:rsidRDefault="00096E02">
      <w:pPr>
        <w:rPr>
          <w:lang w:val="es-ES"/>
        </w:rPr>
      </w:pPr>
    </w:p>
    <w:p w:rsidR="00096E02" w:rsidRDefault="00096E02" w:rsidP="00096E02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ANEXO 01</w:t>
      </w:r>
    </w:p>
    <w:p w:rsidR="00096E02" w:rsidRDefault="00096E02" w:rsidP="00096E02"/>
    <w:tbl>
      <w:tblPr>
        <w:tblStyle w:val="Tablaconcuadrcula"/>
        <w:tblW w:w="10207" w:type="dxa"/>
        <w:tblInd w:w="-998" w:type="dxa"/>
        <w:tblLook w:val="04A0" w:firstRow="1" w:lastRow="0" w:firstColumn="1" w:lastColumn="0" w:noHBand="0" w:noVBand="1"/>
      </w:tblPr>
      <w:tblGrid>
        <w:gridCol w:w="567"/>
        <w:gridCol w:w="3120"/>
        <w:gridCol w:w="1580"/>
        <w:gridCol w:w="2065"/>
        <w:gridCol w:w="1174"/>
        <w:gridCol w:w="1701"/>
      </w:tblGrid>
      <w:tr w:rsidR="00096E02" w:rsidRPr="00096E02" w:rsidTr="00096E02">
        <w:tc>
          <w:tcPr>
            <w:tcW w:w="10207" w:type="dxa"/>
            <w:gridSpan w:val="6"/>
            <w:shd w:val="clear" w:color="auto" w:fill="009999"/>
          </w:tcPr>
          <w:p w:rsidR="00096E02" w:rsidRPr="00096E02" w:rsidRDefault="00096E02" w:rsidP="007059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96E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Lista de asistencia </w:t>
            </w:r>
          </w:p>
        </w:tc>
      </w:tr>
      <w:tr w:rsidR="00096E02" w:rsidRPr="00096E02" w:rsidTr="00096E02">
        <w:tc>
          <w:tcPr>
            <w:tcW w:w="5267" w:type="dxa"/>
            <w:gridSpan w:val="3"/>
            <w:shd w:val="clear" w:color="auto" w:fill="009999"/>
          </w:tcPr>
          <w:p w:rsidR="00096E02" w:rsidRPr="00096E02" w:rsidRDefault="00096E02" w:rsidP="0070592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96E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Tipo de reunión: Extraordinaria</w:t>
            </w:r>
          </w:p>
        </w:tc>
        <w:tc>
          <w:tcPr>
            <w:tcW w:w="2065" w:type="dxa"/>
            <w:shd w:val="clear" w:color="auto" w:fill="009999"/>
          </w:tcPr>
          <w:p w:rsidR="00096E02" w:rsidRPr="00096E02" w:rsidRDefault="00096E02" w:rsidP="0070592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96E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Número: 01</w:t>
            </w:r>
          </w:p>
        </w:tc>
        <w:tc>
          <w:tcPr>
            <w:tcW w:w="2875" w:type="dxa"/>
            <w:gridSpan w:val="2"/>
            <w:shd w:val="clear" w:color="auto" w:fill="009999"/>
          </w:tcPr>
          <w:p w:rsidR="00096E02" w:rsidRPr="00096E02" w:rsidRDefault="00096E02" w:rsidP="0070592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96E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Fecha: 11 de enero del 2021</w:t>
            </w:r>
          </w:p>
        </w:tc>
      </w:tr>
      <w:tr w:rsidR="00096E02" w:rsidRPr="00096E02" w:rsidTr="00096E02">
        <w:tc>
          <w:tcPr>
            <w:tcW w:w="10207" w:type="dxa"/>
            <w:gridSpan w:val="6"/>
            <w:shd w:val="clear" w:color="auto" w:fill="009999"/>
          </w:tcPr>
          <w:p w:rsidR="00096E02" w:rsidRPr="00096E02" w:rsidRDefault="00096E02" w:rsidP="007059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96E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Integrantes del Grupo Interdisciplinario</w:t>
            </w:r>
          </w:p>
        </w:tc>
      </w:tr>
      <w:tr w:rsidR="00096E02" w:rsidRPr="00096E02" w:rsidTr="00096E02">
        <w:tc>
          <w:tcPr>
            <w:tcW w:w="567" w:type="dxa"/>
            <w:shd w:val="clear" w:color="auto" w:fill="009999"/>
          </w:tcPr>
          <w:p w:rsidR="00096E02" w:rsidRPr="00096E02" w:rsidRDefault="00096E02" w:rsidP="007059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96E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N°</w:t>
            </w:r>
          </w:p>
        </w:tc>
        <w:tc>
          <w:tcPr>
            <w:tcW w:w="3120" w:type="dxa"/>
            <w:shd w:val="clear" w:color="auto" w:fill="009999"/>
          </w:tcPr>
          <w:p w:rsidR="00096E02" w:rsidRPr="00096E02" w:rsidRDefault="00096E02" w:rsidP="007059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96E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4819" w:type="dxa"/>
            <w:gridSpan w:val="3"/>
            <w:shd w:val="clear" w:color="auto" w:fill="009999"/>
          </w:tcPr>
          <w:p w:rsidR="00096E02" w:rsidRPr="00096E02" w:rsidRDefault="00096E02" w:rsidP="007059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96E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Cargo</w:t>
            </w:r>
          </w:p>
        </w:tc>
        <w:tc>
          <w:tcPr>
            <w:tcW w:w="1701" w:type="dxa"/>
            <w:shd w:val="clear" w:color="auto" w:fill="009999"/>
          </w:tcPr>
          <w:p w:rsidR="00096E02" w:rsidRPr="00096E02" w:rsidRDefault="00096E02" w:rsidP="007059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96E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0096E02" w:rsidRPr="00096E02" w:rsidTr="00096E02">
        <w:trPr>
          <w:trHeight w:val="737"/>
        </w:trPr>
        <w:tc>
          <w:tcPr>
            <w:tcW w:w="567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E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20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E02">
              <w:rPr>
                <w:rFonts w:ascii="Arial" w:hAnsi="Arial" w:cs="Arial"/>
                <w:sz w:val="20"/>
                <w:szCs w:val="20"/>
              </w:rPr>
              <w:t>Licda. Lucila Martínez Altamirano</w:t>
            </w:r>
          </w:p>
        </w:tc>
        <w:tc>
          <w:tcPr>
            <w:tcW w:w="4819" w:type="dxa"/>
            <w:gridSpan w:val="3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E02">
              <w:rPr>
                <w:rFonts w:ascii="Arial" w:hAnsi="Arial" w:cs="Arial"/>
                <w:sz w:val="20"/>
                <w:szCs w:val="20"/>
              </w:rPr>
              <w:t>Directora de Asuntos Jurídicos y Responsable de la Unidad de Transparencia</w:t>
            </w:r>
          </w:p>
        </w:tc>
        <w:tc>
          <w:tcPr>
            <w:tcW w:w="1701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E02" w:rsidRPr="00096E02" w:rsidTr="00096E02">
        <w:trPr>
          <w:trHeight w:val="737"/>
        </w:trPr>
        <w:tc>
          <w:tcPr>
            <w:tcW w:w="567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E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20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E02">
              <w:rPr>
                <w:rFonts w:ascii="Arial" w:hAnsi="Arial" w:cs="Arial"/>
                <w:sz w:val="20"/>
                <w:szCs w:val="20"/>
              </w:rPr>
              <w:t>Lic. Fernando Cruz Ríos</w:t>
            </w:r>
          </w:p>
        </w:tc>
        <w:tc>
          <w:tcPr>
            <w:tcW w:w="4819" w:type="dxa"/>
            <w:gridSpan w:val="3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E02">
              <w:rPr>
                <w:rFonts w:ascii="Arial" w:hAnsi="Arial" w:cs="Arial"/>
                <w:sz w:val="20"/>
                <w:szCs w:val="20"/>
              </w:rPr>
              <w:t>Director de Administración</w:t>
            </w:r>
          </w:p>
        </w:tc>
        <w:tc>
          <w:tcPr>
            <w:tcW w:w="1701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E02" w:rsidRPr="00096E02" w:rsidTr="00096E02">
        <w:trPr>
          <w:trHeight w:val="737"/>
        </w:trPr>
        <w:tc>
          <w:tcPr>
            <w:tcW w:w="567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E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20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E02">
              <w:rPr>
                <w:rFonts w:ascii="Arial" w:hAnsi="Arial" w:cs="Arial"/>
                <w:sz w:val="20"/>
                <w:szCs w:val="20"/>
              </w:rPr>
              <w:t>Licda. María Tanivet Ramos Reyes</w:t>
            </w:r>
          </w:p>
        </w:tc>
        <w:tc>
          <w:tcPr>
            <w:tcW w:w="4819" w:type="dxa"/>
            <w:gridSpan w:val="3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E02">
              <w:rPr>
                <w:rFonts w:ascii="Arial" w:hAnsi="Arial" w:cs="Arial"/>
                <w:sz w:val="20"/>
                <w:szCs w:val="20"/>
              </w:rPr>
              <w:t>Secretaría Técnica y Titular del Área Coordinadora de Archivos</w:t>
            </w:r>
          </w:p>
        </w:tc>
        <w:tc>
          <w:tcPr>
            <w:tcW w:w="1701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E02" w:rsidRPr="00096E02" w:rsidTr="00096E02">
        <w:trPr>
          <w:trHeight w:val="737"/>
        </w:trPr>
        <w:tc>
          <w:tcPr>
            <w:tcW w:w="567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E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20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E02">
              <w:rPr>
                <w:rFonts w:ascii="Arial" w:hAnsi="Arial" w:cs="Arial"/>
                <w:sz w:val="20"/>
                <w:szCs w:val="20"/>
              </w:rPr>
              <w:t>Ing. Edwin Robles Hernández</w:t>
            </w:r>
          </w:p>
        </w:tc>
        <w:tc>
          <w:tcPr>
            <w:tcW w:w="4819" w:type="dxa"/>
            <w:gridSpan w:val="3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E02">
              <w:rPr>
                <w:rFonts w:ascii="Arial" w:hAnsi="Arial" w:cs="Arial"/>
                <w:sz w:val="20"/>
                <w:szCs w:val="20"/>
              </w:rPr>
              <w:t>Director de Tecnologías de Transparencia</w:t>
            </w:r>
          </w:p>
        </w:tc>
        <w:tc>
          <w:tcPr>
            <w:tcW w:w="1701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E02" w:rsidRPr="00096E02" w:rsidTr="00096E02">
        <w:trPr>
          <w:trHeight w:val="737"/>
        </w:trPr>
        <w:tc>
          <w:tcPr>
            <w:tcW w:w="567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E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20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E02">
              <w:rPr>
                <w:rFonts w:ascii="Arial" w:eastAsia="Times New Roman" w:hAnsi="Arial" w:cs="Arial"/>
                <w:sz w:val="20"/>
                <w:szCs w:val="20"/>
              </w:rPr>
              <w:t>C.P. Juan Antonio García Pérez</w:t>
            </w:r>
          </w:p>
        </w:tc>
        <w:tc>
          <w:tcPr>
            <w:tcW w:w="4819" w:type="dxa"/>
            <w:gridSpan w:val="3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E0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Auditor y Responsable del Archivo de Trámite adscrito a la Contraloría General, en representación de la</w:t>
            </w:r>
            <w:r w:rsidRPr="00096E02">
              <w:rPr>
                <w:rFonts w:ascii="Arial" w:eastAsia="Times New Roman" w:hAnsi="Arial" w:cs="Arial"/>
                <w:sz w:val="20"/>
                <w:szCs w:val="20"/>
              </w:rPr>
              <w:t xml:space="preserve"> Mtra. Daisy Araceli Ortiz Jiménez.</w:t>
            </w:r>
          </w:p>
        </w:tc>
        <w:tc>
          <w:tcPr>
            <w:tcW w:w="1701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E02" w:rsidRPr="00096E02" w:rsidTr="00096E02">
        <w:trPr>
          <w:trHeight w:val="737"/>
        </w:trPr>
        <w:tc>
          <w:tcPr>
            <w:tcW w:w="567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E0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20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E02">
              <w:rPr>
                <w:rFonts w:ascii="Arial" w:hAnsi="Arial" w:cs="Arial"/>
                <w:sz w:val="20"/>
                <w:szCs w:val="20"/>
              </w:rPr>
              <w:t>Lic. Guadalupe Gustavo Díaz Altamirano</w:t>
            </w:r>
          </w:p>
        </w:tc>
        <w:tc>
          <w:tcPr>
            <w:tcW w:w="4819" w:type="dxa"/>
            <w:gridSpan w:val="3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E02">
              <w:rPr>
                <w:rFonts w:ascii="Arial" w:hAnsi="Arial" w:cs="Arial"/>
                <w:sz w:val="20"/>
                <w:szCs w:val="20"/>
              </w:rPr>
              <w:t xml:space="preserve">Secretario General de Acuerdos </w:t>
            </w:r>
          </w:p>
        </w:tc>
        <w:tc>
          <w:tcPr>
            <w:tcW w:w="1701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E02" w:rsidRPr="00096E02" w:rsidTr="00096E02">
        <w:trPr>
          <w:trHeight w:val="737"/>
        </w:trPr>
        <w:tc>
          <w:tcPr>
            <w:tcW w:w="567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E0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20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96E02">
              <w:rPr>
                <w:rFonts w:ascii="Arial" w:hAnsi="Arial" w:cs="Arial"/>
                <w:sz w:val="20"/>
                <w:szCs w:val="20"/>
                <w:lang w:val="en-US"/>
              </w:rPr>
              <w:t>Lic</w:t>
            </w:r>
            <w:proofErr w:type="spellEnd"/>
            <w:r w:rsidRPr="00096E02">
              <w:rPr>
                <w:rFonts w:ascii="Arial" w:hAnsi="Arial" w:cs="Arial"/>
                <w:sz w:val="20"/>
                <w:szCs w:val="20"/>
                <w:lang w:val="en-US"/>
              </w:rPr>
              <w:t xml:space="preserve">. Eugenio Arafat Chávez </w:t>
            </w:r>
            <w:proofErr w:type="spellStart"/>
            <w:r w:rsidRPr="00096E02">
              <w:rPr>
                <w:rFonts w:ascii="Arial" w:hAnsi="Arial" w:cs="Arial"/>
                <w:sz w:val="20"/>
                <w:szCs w:val="20"/>
                <w:lang w:val="en-US"/>
              </w:rPr>
              <w:t>Bedolla</w:t>
            </w:r>
            <w:proofErr w:type="spellEnd"/>
          </w:p>
        </w:tc>
        <w:tc>
          <w:tcPr>
            <w:tcW w:w="4819" w:type="dxa"/>
            <w:gridSpan w:val="3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E02">
              <w:rPr>
                <w:rFonts w:ascii="Arial" w:hAnsi="Arial" w:cs="Arial"/>
                <w:sz w:val="20"/>
                <w:szCs w:val="20"/>
              </w:rPr>
              <w:t>Director de Gobierno Abierto</w:t>
            </w:r>
          </w:p>
        </w:tc>
        <w:tc>
          <w:tcPr>
            <w:tcW w:w="1701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E02" w:rsidRPr="00096E02" w:rsidTr="00096E02">
        <w:trPr>
          <w:trHeight w:val="605"/>
        </w:trPr>
        <w:tc>
          <w:tcPr>
            <w:tcW w:w="567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E0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20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E02">
              <w:rPr>
                <w:rFonts w:ascii="Arial" w:hAnsi="Arial" w:cs="Arial"/>
                <w:sz w:val="20"/>
                <w:szCs w:val="20"/>
              </w:rPr>
              <w:t>Licda. Sara Mariana Jara Carrasco</w:t>
            </w:r>
          </w:p>
        </w:tc>
        <w:tc>
          <w:tcPr>
            <w:tcW w:w="4819" w:type="dxa"/>
            <w:gridSpan w:val="3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E02">
              <w:rPr>
                <w:rFonts w:ascii="Arial" w:hAnsi="Arial" w:cs="Arial"/>
                <w:sz w:val="20"/>
                <w:szCs w:val="20"/>
              </w:rPr>
              <w:t>Directora de Comunicación, Capacitación, Evaluación, Archivo y Datos Personales.</w:t>
            </w:r>
          </w:p>
        </w:tc>
        <w:tc>
          <w:tcPr>
            <w:tcW w:w="1701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E02" w:rsidRPr="00096E02" w:rsidTr="00096E02">
        <w:trPr>
          <w:trHeight w:val="297"/>
        </w:trPr>
        <w:tc>
          <w:tcPr>
            <w:tcW w:w="10207" w:type="dxa"/>
            <w:gridSpan w:val="6"/>
            <w:shd w:val="clear" w:color="auto" w:fill="009999"/>
          </w:tcPr>
          <w:p w:rsidR="00096E02" w:rsidRPr="00096E02" w:rsidRDefault="00096E02" w:rsidP="0070592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96E0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Asistentes a la reunión</w:t>
            </w:r>
          </w:p>
        </w:tc>
      </w:tr>
      <w:tr w:rsidR="00096E02" w:rsidRPr="00096E02" w:rsidTr="00096E02">
        <w:tc>
          <w:tcPr>
            <w:tcW w:w="567" w:type="dxa"/>
            <w:shd w:val="clear" w:color="auto" w:fill="009999"/>
          </w:tcPr>
          <w:p w:rsidR="00096E02" w:rsidRPr="00096E02" w:rsidRDefault="00096E02" w:rsidP="007059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96E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N°</w:t>
            </w:r>
          </w:p>
        </w:tc>
        <w:tc>
          <w:tcPr>
            <w:tcW w:w="3120" w:type="dxa"/>
            <w:shd w:val="clear" w:color="auto" w:fill="009999"/>
          </w:tcPr>
          <w:p w:rsidR="00096E02" w:rsidRPr="00096E02" w:rsidRDefault="00096E02" w:rsidP="007059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96E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4819" w:type="dxa"/>
            <w:gridSpan w:val="3"/>
            <w:shd w:val="clear" w:color="auto" w:fill="009999"/>
          </w:tcPr>
          <w:p w:rsidR="00096E02" w:rsidRPr="00096E02" w:rsidRDefault="00096E02" w:rsidP="007059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96E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Cargo</w:t>
            </w:r>
          </w:p>
        </w:tc>
        <w:tc>
          <w:tcPr>
            <w:tcW w:w="1701" w:type="dxa"/>
            <w:shd w:val="clear" w:color="auto" w:fill="009999"/>
          </w:tcPr>
          <w:p w:rsidR="00096E02" w:rsidRPr="00096E02" w:rsidRDefault="00096E02" w:rsidP="007059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96E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0096E02" w:rsidRPr="00096E02" w:rsidTr="00096E02">
        <w:trPr>
          <w:trHeight w:val="555"/>
        </w:trPr>
        <w:tc>
          <w:tcPr>
            <w:tcW w:w="567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E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20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E0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Mtra. María Antonieta Velásquez Chagoya</w:t>
            </w:r>
          </w:p>
        </w:tc>
        <w:tc>
          <w:tcPr>
            <w:tcW w:w="4819" w:type="dxa"/>
            <w:gridSpan w:val="3"/>
          </w:tcPr>
          <w:p w:rsidR="00096E02" w:rsidRPr="00096E02" w:rsidRDefault="00096E02" w:rsidP="0070592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096E0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Comisionada Presidente del Consejo General del IAIP Oaxaca.</w:t>
            </w:r>
          </w:p>
        </w:tc>
        <w:tc>
          <w:tcPr>
            <w:tcW w:w="1701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E02" w:rsidRPr="00096E02" w:rsidTr="00096E02">
        <w:trPr>
          <w:trHeight w:val="469"/>
        </w:trPr>
        <w:tc>
          <w:tcPr>
            <w:tcW w:w="567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E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20" w:type="dxa"/>
          </w:tcPr>
          <w:p w:rsidR="00096E02" w:rsidRPr="00096E02" w:rsidRDefault="00096E02" w:rsidP="0070592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096E02">
              <w:rPr>
                <w:rFonts w:ascii="Arial" w:eastAsia="Times New Roman" w:hAnsi="Arial" w:cs="Arial"/>
                <w:sz w:val="20"/>
                <w:szCs w:val="20"/>
              </w:rPr>
              <w:t>Lic. Fernando Rodolfo Gómez Cuevas</w:t>
            </w:r>
          </w:p>
        </w:tc>
        <w:tc>
          <w:tcPr>
            <w:tcW w:w="4819" w:type="dxa"/>
            <w:gridSpan w:val="3"/>
          </w:tcPr>
          <w:p w:rsidR="00096E02" w:rsidRPr="00096E02" w:rsidRDefault="00096E02" w:rsidP="0070592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096E0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Comisionado del Consejo General del IAIP Oaxaca.</w:t>
            </w:r>
          </w:p>
          <w:p w:rsidR="00096E02" w:rsidRPr="00096E02" w:rsidRDefault="00096E02" w:rsidP="0070592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E02" w:rsidRPr="00096E02" w:rsidTr="00096E02">
        <w:trPr>
          <w:trHeight w:val="757"/>
        </w:trPr>
        <w:tc>
          <w:tcPr>
            <w:tcW w:w="567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E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20" w:type="dxa"/>
          </w:tcPr>
          <w:p w:rsidR="00096E02" w:rsidRPr="00096E02" w:rsidRDefault="00096E02" w:rsidP="0070592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096E02">
              <w:rPr>
                <w:rFonts w:ascii="Arial" w:eastAsia="Times New Roman" w:hAnsi="Arial" w:cs="Arial"/>
                <w:sz w:val="20"/>
                <w:szCs w:val="20"/>
              </w:rPr>
              <w:t>Lic. Miguel Ángel García Salinas</w:t>
            </w:r>
          </w:p>
        </w:tc>
        <w:tc>
          <w:tcPr>
            <w:tcW w:w="4819" w:type="dxa"/>
            <w:gridSpan w:val="3"/>
          </w:tcPr>
          <w:p w:rsidR="00096E02" w:rsidRPr="00096E02" w:rsidRDefault="00096E02" w:rsidP="0070592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096E0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Jefe del Depto. De Auditoría y Responsabilidades</w:t>
            </w:r>
          </w:p>
        </w:tc>
        <w:tc>
          <w:tcPr>
            <w:tcW w:w="1701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E02" w:rsidRPr="00096E02" w:rsidTr="00096E02">
        <w:trPr>
          <w:trHeight w:val="737"/>
        </w:trPr>
        <w:tc>
          <w:tcPr>
            <w:tcW w:w="567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E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20" w:type="dxa"/>
          </w:tcPr>
          <w:p w:rsidR="00096E02" w:rsidRPr="00096E02" w:rsidRDefault="00096E02" w:rsidP="0070592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96E0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Lic. Thomas Aguilar Mendoza</w:t>
            </w:r>
          </w:p>
        </w:tc>
        <w:tc>
          <w:tcPr>
            <w:tcW w:w="4819" w:type="dxa"/>
            <w:gridSpan w:val="3"/>
          </w:tcPr>
          <w:p w:rsidR="00096E02" w:rsidRPr="00096E02" w:rsidRDefault="00096E02" w:rsidP="0070592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096E0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Jefe del departamento de quejas y denuncias.</w:t>
            </w:r>
          </w:p>
        </w:tc>
        <w:tc>
          <w:tcPr>
            <w:tcW w:w="1701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E02" w:rsidRPr="00096E02" w:rsidTr="00096E02">
        <w:trPr>
          <w:trHeight w:val="737"/>
        </w:trPr>
        <w:tc>
          <w:tcPr>
            <w:tcW w:w="567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E02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3120" w:type="dxa"/>
          </w:tcPr>
          <w:p w:rsidR="00096E02" w:rsidRPr="00096E02" w:rsidRDefault="00096E02" w:rsidP="0070592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96E02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C. Rigoberto Clemente Canseco Díaz</w:t>
            </w:r>
          </w:p>
        </w:tc>
        <w:tc>
          <w:tcPr>
            <w:tcW w:w="4819" w:type="dxa"/>
            <w:gridSpan w:val="3"/>
          </w:tcPr>
          <w:p w:rsidR="00096E02" w:rsidRPr="00096E02" w:rsidRDefault="00096E02" w:rsidP="0070592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096E0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Responsable de Archivo de Concentración</w:t>
            </w:r>
          </w:p>
        </w:tc>
        <w:tc>
          <w:tcPr>
            <w:tcW w:w="1701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E02" w:rsidRPr="00096E02" w:rsidTr="00096E02">
        <w:trPr>
          <w:trHeight w:val="737"/>
        </w:trPr>
        <w:tc>
          <w:tcPr>
            <w:tcW w:w="567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E0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20" w:type="dxa"/>
          </w:tcPr>
          <w:p w:rsidR="00096E02" w:rsidRPr="00096E02" w:rsidRDefault="00096E02" w:rsidP="00705924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096E02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Ing. Juan Miguel </w:t>
            </w:r>
            <w:proofErr w:type="spellStart"/>
            <w:r w:rsidRPr="00096E02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Villacaña</w:t>
            </w:r>
            <w:proofErr w:type="spellEnd"/>
            <w:r w:rsidRPr="00096E02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Vivas</w:t>
            </w:r>
          </w:p>
        </w:tc>
        <w:tc>
          <w:tcPr>
            <w:tcW w:w="4819" w:type="dxa"/>
            <w:gridSpan w:val="3"/>
          </w:tcPr>
          <w:p w:rsidR="00096E02" w:rsidRPr="00096E02" w:rsidRDefault="00096E02" w:rsidP="0070592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096E0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Auxiliar asignado al Área Coordinadora de Archivos.</w:t>
            </w:r>
          </w:p>
        </w:tc>
        <w:tc>
          <w:tcPr>
            <w:tcW w:w="1701" w:type="dxa"/>
          </w:tcPr>
          <w:p w:rsidR="00096E02" w:rsidRPr="00096E02" w:rsidRDefault="00096E02" w:rsidP="007059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6E02" w:rsidRDefault="00096E02" w:rsidP="00096E02">
      <w:pPr>
        <w:jc w:val="both"/>
      </w:pPr>
    </w:p>
    <w:p w:rsidR="00D72D7C" w:rsidRDefault="00D72D7C" w:rsidP="00D72D7C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Anexo 02</w:t>
      </w:r>
    </w:p>
    <w:tbl>
      <w:tblPr>
        <w:tblStyle w:val="Tablaconcuadrcula"/>
        <w:tblW w:w="10207" w:type="dxa"/>
        <w:tblInd w:w="-998" w:type="dxa"/>
        <w:shd w:val="clear" w:color="auto" w:fill="009999"/>
        <w:tblLook w:val="04A0" w:firstRow="1" w:lastRow="0" w:firstColumn="1" w:lastColumn="0" w:noHBand="0" w:noVBand="1"/>
      </w:tblPr>
      <w:tblGrid>
        <w:gridCol w:w="10207"/>
      </w:tblGrid>
      <w:tr w:rsidR="00D72D7C" w:rsidTr="00D72D7C">
        <w:tc>
          <w:tcPr>
            <w:tcW w:w="10207" w:type="dxa"/>
            <w:shd w:val="clear" w:color="auto" w:fill="009999"/>
          </w:tcPr>
          <w:p w:rsidR="00D72D7C" w:rsidRDefault="00D72D7C" w:rsidP="00705924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180F34">
              <w:rPr>
                <w:rFonts w:ascii="Calibri" w:hAnsi="Calibri" w:cs="Calibri"/>
                <w:color w:val="FFFFFF" w:themeColor="background1"/>
              </w:rPr>
              <w:t xml:space="preserve">Reunión extraordinaria </w:t>
            </w:r>
            <w:r>
              <w:rPr>
                <w:rFonts w:ascii="Calibri" w:hAnsi="Calibri" w:cs="Calibri"/>
                <w:color w:val="FFFFFF" w:themeColor="background1"/>
              </w:rPr>
              <w:t xml:space="preserve">número </w:t>
            </w:r>
            <w:r w:rsidRPr="00180F34">
              <w:rPr>
                <w:rFonts w:ascii="Calibri" w:hAnsi="Calibri" w:cs="Calibri"/>
                <w:color w:val="FFFFFF" w:themeColor="background1"/>
              </w:rPr>
              <w:t xml:space="preserve">01 del GI </w:t>
            </w:r>
          </w:p>
          <w:p w:rsidR="00D72D7C" w:rsidRPr="00180F34" w:rsidRDefault="00D72D7C" w:rsidP="00705924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180F34">
              <w:rPr>
                <w:rFonts w:ascii="Calibri" w:hAnsi="Calibri" w:cs="Calibri"/>
                <w:color w:val="FFFFFF" w:themeColor="background1"/>
              </w:rPr>
              <w:t>Fecha: 11 de enero de 2021</w:t>
            </w:r>
          </w:p>
        </w:tc>
      </w:tr>
      <w:tr w:rsidR="00D72D7C" w:rsidTr="00D72D7C">
        <w:trPr>
          <w:trHeight w:val="610"/>
        </w:trPr>
        <w:tc>
          <w:tcPr>
            <w:tcW w:w="10207" w:type="dxa"/>
            <w:shd w:val="clear" w:color="auto" w:fill="009999"/>
          </w:tcPr>
          <w:p w:rsidR="00D72D7C" w:rsidRPr="00E54468" w:rsidRDefault="00D72D7C" w:rsidP="00705924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180F34">
              <w:rPr>
                <w:rFonts w:ascii="Calibri" w:hAnsi="Calibri" w:cs="Calibri"/>
                <w:color w:val="FFFFFF" w:themeColor="background1"/>
              </w:rPr>
              <w:t>Opinión a las FTVD elaboradas por las áreas productoras y responsables de archivo de trámite del IAIP</w:t>
            </w:r>
          </w:p>
        </w:tc>
      </w:tr>
    </w:tbl>
    <w:p w:rsidR="00D72D7C" w:rsidRDefault="00D72D7C" w:rsidP="00D72D7C">
      <w:pPr>
        <w:jc w:val="both"/>
        <w:rPr>
          <w:rFonts w:ascii="Calibri" w:hAnsi="Calibri" w:cs="Calibri"/>
          <w:b/>
        </w:rPr>
      </w:pPr>
    </w:p>
    <w:p w:rsidR="00D72D7C" w:rsidRDefault="00D72D7C" w:rsidP="00D72D7C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General: </w:t>
      </w:r>
    </w:p>
    <w:p w:rsidR="00D72D7C" w:rsidRPr="00180F34" w:rsidRDefault="00D72D7C" w:rsidP="00D72D7C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>E</w:t>
      </w:r>
      <w:r w:rsidRPr="00931DAB">
        <w:rPr>
          <w:rFonts w:ascii="Calibri" w:hAnsi="Calibri" w:cs="Calibri"/>
        </w:rPr>
        <w:t>l nombre</w:t>
      </w:r>
      <w:r>
        <w:rPr>
          <w:rFonts w:ascii="Calibri" w:hAnsi="Calibri" w:cs="Calibri"/>
        </w:rPr>
        <w:t xml:space="preserve"> correcto del fondo documental que debe plasmarse en las Fichas </w:t>
      </w:r>
      <w:r w:rsidRPr="00931DAB">
        <w:rPr>
          <w:rFonts w:ascii="Calibri" w:hAnsi="Calibri" w:cs="Calibri"/>
        </w:rPr>
        <w:t xml:space="preserve">es </w:t>
      </w:r>
      <w:r w:rsidRPr="00180F34">
        <w:rPr>
          <w:rFonts w:ascii="Calibri" w:hAnsi="Calibri" w:cs="Calibri"/>
          <w:i/>
        </w:rPr>
        <w:t xml:space="preserve">Instituto de Acceso a la Información Pública y Protección de Datos Personales </w:t>
      </w:r>
    </w:p>
    <w:p w:rsidR="00D72D7C" w:rsidRDefault="00D72D7C" w:rsidP="00D72D7C">
      <w:pPr>
        <w:jc w:val="both"/>
        <w:rPr>
          <w:rFonts w:ascii="Calibri" w:hAnsi="Calibri" w:cs="Calibri"/>
        </w:rPr>
      </w:pPr>
      <w:r w:rsidRPr="00931DAB">
        <w:rPr>
          <w:rFonts w:ascii="Calibri" w:hAnsi="Calibri" w:cs="Calibri"/>
        </w:rPr>
        <w:t xml:space="preserve">Sustituir la pleca que tiene la leyenda y el año 2020 por una pleca sin la leyenda y el año. </w:t>
      </w:r>
      <w:r>
        <w:rPr>
          <w:rFonts w:ascii="Calibri" w:hAnsi="Calibri" w:cs="Calibri"/>
        </w:rPr>
        <w:t xml:space="preserve"> E</w:t>
      </w:r>
      <w:r w:rsidRPr="00931DAB">
        <w:rPr>
          <w:rFonts w:ascii="Calibri" w:hAnsi="Calibri" w:cs="Calibri"/>
        </w:rPr>
        <w:t xml:space="preserve">l ACA hará la sustitución en todas las fichas y las devolverá al área productora para su envío final en soporte papel y firmadas. </w:t>
      </w:r>
    </w:p>
    <w:p w:rsidR="00D72D7C" w:rsidRPr="00931DAB" w:rsidRDefault="00D72D7C" w:rsidP="00D72D7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 archivo de trámite es el nombre de cada una de las direcciones, secretarías, contraloría y ponencias, tal y como aparece en el reglamento interno, por lo tanto, se propone modificar en este sentido las fichas que tienen definidas jefaturas o supervisiones en este rubro.</w:t>
      </w:r>
    </w:p>
    <w:p w:rsidR="00D72D7C" w:rsidRDefault="00D72D7C" w:rsidP="00D72D7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Eliminar </w:t>
      </w:r>
      <w:r w:rsidRPr="00931DAB">
        <w:rPr>
          <w:rFonts w:ascii="Calibri" w:hAnsi="Calibri" w:cs="Calibri"/>
        </w:rPr>
        <w:t>del rubro áreas que intervienen</w:t>
      </w:r>
      <w:r>
        <w:rPr>
          <w:rFonts w:ascii="Calibri" w:hAnsi="Calibri" w:cs="Calibri"/>
        </w:rPr>
        <w:t xml:space="preserve"> a las áreas productoras de la información que están valorando la serie, dado que este rubro se refiere a otras áreas dentro del instituto y/o instituciones externas.</w:t>
      </w:r>
    </w:p>
    <w:p w:rsidR="00D72D7C" w:rsidRPr="00E44429" w:rsidRDefault="00D72D7C" w:rsidP="00D72D7C">
      <w:pPr>
        <w:jc w:val="both"/>
        <w:rPr>
          <w:rFonts w:ascii="Calibri" w:hAnsi="Calibri" w:cs="Calibri"/>
        </w:rPr>
      </w:pPr>
    </w:p>
    <w:tbl>
      <w:tblPr>
        <w:tblStyle w:val="Tablaconcuadrcula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943"/>
      </w:tblGrid>
      <w:tr w:rsidR="00D72D7C" w:rsidTr="00D72D7C">
        <w:trPr>
          <w:tblHeader/>
          <w:jc w:val="center"/>
        </w:trPr>
        <w:tc>
          <w:tcPr>
            <w:tcW w:w="846" w:type="dxa"/>
            <w:shd w:val="clear" w:color="auto" w:fill="008080"/>
          </w:tcPr>
          <w:p w:rsidR="00D72D7C" w:rsidRPr="001C028E" w:rsidRDefault="00D72D7C" w:rsidP="00705924">
            <w:pPr>
              <w:rPr>
                <w:rFonts w:ascii="Calibri" w:hAnsi="Calibri" w:cs="Calibri"/>
                <w:color w:val="FFFFFF" w:themeColor="background1"/>
              </w:rPr>
            </w:pPr>
            <w:r w:rsidRPr="001C028E">
              <w:rPr>
                <w:rFonts w:ascii="Calibri" w:hAnsi="Calibri" w:cs="Calibri"/>
                <w:color w:val="FFFFFF" w:themeColor="background1"/>
              </w:rPr>
              <w:t>FTVD</w:t>
            </w:r>
          </w:p>
        </w:tc>
        <w:tc>
          <w:tcPr>
            <w:tcW w:w="7943" w:type="dxa"/>
            <w:shd w:val="clear" w:color="auto" w:fill="008080"/>
          </w:tcPr>
          <w:p w:rsidR="00D72D7C" w:rsidRPr="001C028E" w:rsidRDefault="00D72D7C" w:rsidP="00705924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1C028E">
              <w:rPr>
                <w:rFonts w:ascii="Calibri" w:hAnsi="Calibri" w:cs="Calibri"/>
                <w:color w:val="FFFFFF" w:themeColor="background1"/>
              </w:rPr>
              <w:t xml:space="preserve">Opinión </w:t>
            </w:r>
          </w:p>
        </w:tc>
      </w:tr>
      <w:tr w:rsidR="00D72D7C" w:rsidTr="00D72D7C">
        <w:trPr>
          <w:jc w:val="center"/>
        </w:trPr>
        <w:tc>
          <w:tcPr>
            <w:tcW w:w="846" w:type="dxa"/>
          </w:tcPr>
          <w:p w:rsidR="00D72D7C" w:rsidRPr="00B27385" w:rsidRDefault="00D72D7C" w:rsidP="00705924">
            <w:pPr>
              <w:rPr>
                <w:rFonts w:ascii="Calibri" w:hAnsi="Calibri" w:cs="Calibri"/>
              </w:rPr>
            </w:pPr>
            <w:r w:rsidRPr="00B27385">
              <w:rPr>
                <w:rFonts w:ascii="Calibri" w:hAnsi="Calibri" w:cs="Calibri"/>
              </w:rPr>
              <w:t>1C.</w:t>
            </w:r>
            <w:bookmarkStart w:id="0" w:name="_GoBack"/>
            <w:bookmarkEnd w:id="0"/>
            <w:r w:rsidRPr="00B27385">
              <w:rPr>
                <w:rFonts w:ascii="Calibri" w:hAnsi="Calibri" w:cs="Calibri"/>
              </w:rPr>
              <w:t xml:space="preserve">1 </w:t>
            </w:r>
          </w:p>
        </w:tc>
        <w:tc>
          <w:tcPr>
            <w:tcW w:w="7943" w:type="dxa"/>
          </w:tcPr>
          <w:p w:rsidR="00D72D7C" w:rsidRPr="00B27385" w:rsidRDefault="00D72D7C" w:rsidP="00705924">
            <w:pPr>
              <w:jc w:val="both"/>
              <w:rPr>
                <w:rFonts w:ascii="Calibri" w:hAnsi="Calibri" w:cs="Calibri"/>
              </w:rPr>
            </w:pPr>
            <w:r w:rsidRPr="00B27385">
              <w:rPr>
                <w:rFonts w:ascii="Calibri" w:hAnsi="Calibri" w:cs="Calibri"/>
              </w:rPr>
              <w:t xml:space="preserve">Especificar el tipo </w:t>
            </w:r>
            <w:r>
              <w:rPr>
                <w:rFonts w:ascii="Calibri" w:hAnsi="Calibri" w:cs="Calibri"/>
              </w:rPr>
              <w:t xml:space="preserve">de documentos que generan, se propone: </w:t>
            </w:r>
            <w:r w:rsidRPr="001E6784">
              <w:rPr>
                <w:rFonts w:ascii="Calibri" w:hAnsi="Calibri" w:cs="Calibri"/>
              </w:rPr>
              <w:t>documentos normativos y jurídicos.</w:t>
            </w:r>
          </w:p>
          <w:p w:rsidR="00D72D7C" w:rsidRPr="00B27385" w:rsidRDefault="00D72D7C" w:rsidP="00705924">
            <w:pPr>
              <w:jc w:val="both"/>
              <w:rPr>
                <w:rFonts w:ascii="Calibri" w:hAnsi="Calibri" w:cs="Calibri"/>
              </w:rPr>
            </w:pPr>
            <w:r w:rsidRPr="00B27385">
              <w:rPr>
                <w:rFonts w:ascii="Calibri" w:hAnsi="Calibri" w:cs="Calibri"/>
              </w:rPr>
              <w:t>Marcar que no tiene valores secundarios.</w:t>
            </w:r>
          </w:p>
          <w:p w:rsidR="00D72D7C" w:rsidRPr="00B27385" w:rsidRDefault="00D72D7C" w:rsidP="00705924">
            <w:pPr>
              <w:jc w:val="center"/>
              <w:rPr>
                <w:rFonts w:ascii="Calibri" w:hAnsi="Calibri" w:cs="Calibri"/>
              </w:rPr>
            </w:pPr>
          </w:p>
        </w:tc>
      </w:tr>
      <w:tr w:rsidR="00D72D7C" w:rsidTr="00D72D7C">
        <w:trPr>
          <w:jc w:val="center"/>
        </w:trPr>
        <w:tc>
          <w:tcPr>
            <w:tcW w:w="846" w:type="dxa"/>
          </w:tcPr>
          <w:p w:rsidR="00D72D7C" w:rsidRPr="00B27385" w:rsidRDefault="00D72D7C" w:rsidP="00705924">
            <w:pPr>
              <w:rPr>
                <w:rFonts w:ascii="Calibri" w:hAnsi="Calibri" w:cs="Calibri"/>
              </w:rPr>
            </w:pPr>
            <w:r w:rsidRPr="00B27385">
              <w:rPr>
                <w:rFonts w:ascii="Calibri" w:hAnsi="Calibri" w:cs="Calibri"/>
              </w:rPr>
              <w:t>1C.2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 w:rsidRPr="00B27385">
              <w:rPr>
                <w:rFonts w:ascii="Calibri" w:hAnsi="Calibri" w:cs="Calibri"/>
              </w:rPr>
              <w:t xml:space="preserve">Se considera que la serie documental solo tiene valor administrativo y no legal, dado que se trata de oficios y listas de asistencia. 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 acuerdo con los Criterios emitidos por el Grupo Interdisciplinario, el valor legal e</w:t>
            </w:r>
            <w:r w:rsidRPr="00B27385">
              <w:rPr>
                <w:rFonts w:ascii="Calibri" w:hAnsi="Calibri" w:cs="Calibri"/>
              </w:rPr>
              <w:t>s el que tienen los documentos que sirven de testimon</w:t>
            </w:r>
            <w:r>
              <w:rPr>
                <w:rFonts w:ascii="Calibri" w:hAnsi="Calibri" w:cs="Calibri"/>
              </w:rPr>
              <w:t>io ante la ley, documentan las obligaciones legales y protegen</w:t>
            </w:r>
            <w:r w:rsidRPr="00B27385">
              <w:rPr>
                <w:rFonts w:ascii="Calibri" w:hAnsi="Calibri" w:cs="Calibri"/>
              </w:rPr>
              <w:t xml:space="preserve"> los derechos de los individuos y del gobierno.</w:t>
            </w:r>
            <w:r w:rsidRPr="00B27385">
              <w:rPr>
                <w:rFonts w:ascii="Calibri" w:hAnsi="Calibri" w:cs="Calibri"/>
              </w:rPr>
              <w:cr/>
            </w:r>
          </w:p>
          <w:p w:rsidR="00D72D7C" w:rsidRPr="001E6784" w:rsidRDefault="00D72D7C" w:rsidP="00705924">
            <w:pPr>
              <w:jc w:val="both"/>
              <w:rPr>
                <w:rFonts w:ascii="Calibri" w:hAnsi="Calibri" w:cs="Calibri"/>
              </w:rPr>
            </w:pPr>
            <w:r w:rsidRPr="00B27385">
              <w:rPr>
                <w:rFonts w:ascii="Calibri" w:hAnsi="Calibri" w:cs="Calibri"/>
              </w:rPr>
              <w:t>Se consideran documentos con valor legal o jurídico, los que se reciban y/o conservan en el ejercicio de derechos u obligaciones regulados por el Derecho.</w:t>
            </w:r>
          </w:p>
        </w:tc>
      </w:tr>
      <w:tr w:rsidR="00D72D7C" w:rsidTr="00D72D7C">
        <w:trPr>
          <w:jc w:val="center"/>
        </w:trPr>
        <w:tc>
          <w:tcPr>
            <w:tcW w:w="846" w:type="dxa"/>
          </w:tcPr>
          <w:p w:rsidR="00D72D7C" w:rsidRPr="00B27385" w:rsidRDefault="00D72D7C" w:rsidP="00705924">
            <w:pPr>
              <w:rPr>
                <w:rFonts w:ascii="Calibri" w:hAnsi="Calibri" w:cs="Calibri"/>
              </w:rPr>
            </w:pPr>
            <w:r w:rsidRPr="00B27385">
              <w:rPr>
                <w:rFonts w:ascii="Calibri" w:hAnsi="Calibri" w:cs="Calibri"/>
              </w:rPr>
              <w:t>1C.3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 w:rsidRPr="00B27385">
              <w:rPr>
                <w:rFonts w:ascii="Calibri" w:hAnsi="Calibri" w:cs="Calibri"/>
              </w:rPr>
              <w:t xml:space="preserve">Sin observaciones. </w:t>
            </w:r>
          </w:p>
          <w:p w:rsidR="00D72D7C" w:rsidRPr="00B27385" w:rsidRDefault="00D72D7C" w:rsidP="00705924">
            <w:pPr>
              <w:jc w:val="both"/>
              <w:rPr>
                <w:rFonts w:ascii="Calibri" w:hAnsi="Calibri" w:cs="Calibri"/>
              </w:rPr>
            </w:pPr>
          </w:p>
        </w:tc>
      </w:tr>
      <w:tr w:rsidR="00D72D7C" w:rsidTr="00D72D7C">
        <w:trPr>
          <w:jc w:val="center"/>
        </w:trPr>
        <w:tc>
          <w:tcPr>
            <w:tcW w:w="846" w:type="dxa"/>
          </w:tcPr>
          <w:p w:rsidR="00D72D7C" w:rsidRPr="00B27385" w:rsidRDefault="00D72D7C" w:rsidP="00705924">
            <w:pPr>
              <w:rPr>
                <w:rFonts w:ascii="Calibri" w:hAnsi="Calibri" w:cs="Calibri"/>
              </w:rPr>
            </w:pPr>
            <w:r w:rsidRPr="00B27385">
              <w:rPr>
                <w:rFonts w:ascii="Calibri" w:hAnsi="Calibri" w:cs="Calibri"/>
              </w:rPr>
              <w:lastRenderedPageBreak/>
              <w:t>1C.4</w:t>
            </w:r>
          </w:p>
        </w:tc>
        <w:tc>
          <w:tcPr>
            <w:tcW w:w="7943" w:type="dxa"/>
          </w:tcPr>
          <w:p w:rsidR="00D72D7C" w:rsidRPr="00B27385" w:rsidRDefault="00D72D7C" w:rsidP="00705924">
            <w:pPr>
              <w:jc w:val="both"/>
              <w:rPr>
                <w:rFonts w:ascii="Calibri" w:hAnsi="Calibri" w:cs="Calibri"/>
              </w:rPr>
            </w:pPr>
            <w:r w:rsidRPr="00B27385">
              <w:rPr>
                <w:rFonts w:ascii="Calibri" w:hAnsi="Calibri" w:cs="Calibri"/>
              </w:rPr>
              <w:t>Marcar que no tiene valores secundarios.</w:t>
            </w:r>
          </w:p>
        </w:tc>
      </w:tr>
      <w:tr w:rsidR="00D72D7C" w:rsidTr="00D72D7C">
        <w:trPr>
          <w:jc w:val="center"/>
        </w:trPr>
        <w:tc>
          <w:tcPr>
            <w:tcW w:w="846" w:type="dxa"/>
          </w:tcPr>
          <w:p w:rsidR="00D72D7C" w:rsidRPr="00B27385" w:rsidRDefault="00D72D7C" w:rsidP="00705924">
            <w:pPr>
              <w:rPr>
                <w:rFonts w:ascii="Calibri" w:hAnsi="Calibri" w:cs="Calibri"/>
              </w:rPr>
            </w:pPr>
            <w:r w:rsidRPr="00B27385">
              <w:rPr>
                <w:rFonts w:ascii="Calibri" w:hAnsi="Calibri" w:cs="Calibri"/>
              </w:rPr>
              <w:t>1C.5</w:t>
            </w:r>
          </w:p>
        </w:tc>
        <w:tc>
          <w:tcPr>
            <w:tcW w:w="7943" w:type="dxa"/>
          </w:tcPr>
          <w:p w:rsidR="00D72D7C" w:rsidRPr="00B27385" w:rsidRDefault="00D72D7C" w:rsidP="00705924">
            <w:pPr>
              <w:jc w:val="both"/>
              <w:rPr>
                <w:rFonts w:ascii="Calibri" w:hAnsi="Calibri" w:cs="Calibri"/>
              </w:rPr>
            </w:pPr>
            <w:r w:rsidRPr="00B27385">
              <w:rPr>
                <w:rFonts w:ascii="Calibri" w:hAnsi="Calibri" w:cs="Calibri"/>
              </w:rPr>
              <w:t>Marcar que no tiene valores secundarios.</w:t>
            </w:r>
          </w:p>
        </w:tc>
      </w:tr>
      <w:tr w:rsidR="00D72D7C" w:rsidTr="00D72D7C">
        <w:trPr>
          <w:jc w:val="center"/>
        </w:trPr>
        <w:tc>
          <w:tcPr>
            <w:tcW w:w="846" w:type="dxa"/>
          </w:tcPr>
          <w:p w:rsidR="00D72D7C" w:rsidRPr="00B27385" w:rsidRDefault="00D72D7C" w:rsidP="00705924">
            <w:pPr>
              <w:rPr>
                <w:rFonts w:ascii="Calibri" w:hAnsi="Calibri" w:cs="Calibri"/>
              </w:rPr>
            </w:pPr>
            <w:r w:rsidRPr="00B27385">
              <w:rPr>
                <w:rFonts w:ascii="Calibri" w:hAnsi="Calibri" w:cs="Calibri"/>
              </w:rPr>
              <w:t>1C.6</w:t>
            </w:r>
          </w:p>
        </w:tc>
        <w:tc>
          <w:tcPr>
            <w:tcW w:w="7943" w:type="dxa"/>
          </w:tcPr>
          <w:p w:rsidR="00D72D7C" w:rsidRPr="00B27385" w:rsidRDefault="00D72D7C" w:rsidP="00705924">
            <w:pPr>
              <w:jc w:val="both"/>
              <w:rPr>
                <w:rFonts w:ascii="Calibri" w:hAnsi="Calibri" w:cs="Calibri"/>
              </w:rPr>
            </w:pPr>
            <w:r w:rsidRPr="00B27385">
              <w:rPr>
                <w:rFonts w:ascii="Calibri" w:hAnsi="Calibri" w:cs="Calibri"/>
              </w:rPr>
              <w:t>Marcar que no tiene valores secundarios.</w:t>
            </w:r>
          </w:p>
        </w:tc>
      </w:tr>
      <w:tr w:rsidR="00D72D7C" w:rsidTr="00D72D7C">
        <w:trPr>
          <w:jc w:val="center"/>
        </w:trPr>
        <w:tc>
          <w:tcPr>
            <w:tcW w:w="846" w:type="dxa"/>
          </w:tcPr>
          <w:p w:rsidR="00D72D7C" w:rsidRPr="00B27385" w:rsidRDefault="00D72D7C" w:rsidP="00705924">
            <w:pPr>
              <w:rPr>
                <w:rFonts w:ascii="Calibri" w:hAnsi="Calibri" w:cs="Calibri"/>
              </w:rPr>
            </w:pPr>
            <w:r w:rsidRPr="00B27385">
              <w:rPr>
                <w:rFonts w:ascii="Calibri" w:hAnsi="Calibri" w:cs="Calibri"/>
              </w:rPr>
              <w:t>2C.1</w:t>
            </w:r>
          </w:p>
        </w:tc>
        <w:tc>
          <w:tcPr>
            <w:tcW w:w="7943" w:type="dxa"/>
          </w:tcPr>
          <w:p w:rsidR="00D72D7C" w:rsidRPr="00B27385" w:rsidRDefault="00D72D7C" w:rsidP="00705924">
            <w:pPr>
              <w:jc w:val="both"/>
              <w:rPr>
                <w:rFonts w:ascii="Calibri" w:hAnsi="Calibri" w:cs="Calibri"/>
              </w:rPr>
            </w:pPr>
            <w:r w:rsidRPr="00B27385">
              <w:rPr>
                <w:rFonts w:ascii="Calibri" w:hAnsi="Calibri" w:cs="Calibri"/>
              </w:rPr>
              <w:t>En tipología documental agregar el plan institucional.</w:t>
            </w:r>
          </w:p>
          <w:p w:rsidR="00D72D7C" w:rsidRPr="00B27385" w:rsidRDefault="00D72D7C" w:rsidP="00705924">
            <w:pPr>
              <w:jc w:val="both"/>
              <w:rPr>
                <w:rFonts w:ascii="Calibri" w:hAnsi="Calibri" w:cs="Calibri"/>
              </w:rPr>
            </w:pPr>
            <w:r w:rsidRPr="00B27385">
              <w:rPr>
                <w:rFonts w:ascii="Calibri" w:hAnsi="Calibri" w:cs="Calibri"/>
              </w:rPr>
              <w:t>Se recomienda que la conservac</w:t>
            </w:r>
            <w:r>
              <w:rPr>
                <w:rFonts w:ascii="Calibri" w:hAnsi="Calibri" w:cs="Calibri"/>
              </w:rPr>
              <w:t>ión sea total y no por muestreo, dado el volumen que se genera.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Pr="00B27385" w:rsidRDefault="00D72D7C" w:rsidP="00705924">
            <w:pPr>
              <w:rPr>
                <w:rFonts w:ascii="Calibri" w:hAnsi="Calibri" w:cs="Calibri"/>
              </w:rPr>
            </w:pPr>
            <w:r w:rsidRPr="00B27385">
              <w:rPr>
                <w:rFonts w:ascii="Calibri" w:hAnsi="Calibri" w:cs="Calibri"/>
              </w:rPr>
              <w:t>2C.2</w:t>
            </w:r>
          </w:p>
        </w:tc>
        <w:tc>
          <w:tcPr>
            <w:tcW w:w="7943" w:type="dxa"/>
          </w:tcPr>
          <w:p w:rsidR="00D72D7C" w:rsidRPr="00B27385" w:rsidRDefault="00D72D7C" w:rsidP="00705924">
            <w:pPr>
              <w:jc w:val="both"/>
              <w:rPr>
                <w:rFonts w:ascii="Calibri" w:hAnsi="Calibri" w:cs="Calibri"/>
              </w:rPr>
            </w:pPr>
            <w:r w:rsidRPr="00B27385">
              <w:rPr>
                <w:rFonts w:ascii="Calibri" w:hAnsi="Calibri" w:cs="Calibri"/>
              </w:rPr>
              <w:t>Sin observaciones.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Pr="00945D5F" w:rsidRDefault="00D72D7C" w:rsidP="00705924">
            <w:pPr>
              <w:rPr>
                <w:rFonts w:ascii="Calibri" w:hAnsi="Calibri" w:cs="Calibri"/>
              </w:rPr>
            </w:pPr>
            <w:r w:rsidRPr="00945D5F">
              <w:rPr>
                <w:rFonts w:ascii="Calibri" w:hAnsi="Calibri" w:cs="Calibri"/>
              </w:rPr>
              <w:t>2C.3</w:t>
            </w:r>
          </w:p>
        </w:tc>
        <w:tc>
          <w:tcPr>
            <w:tcW w:w="7943" w:type="dxa"/>
          </w:tcPr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 w:rsidRPr="00945D5F">
              <w:rPr>
                <w:rFonts w:ascii="Calibri" w:hAnsi="Calibri" w:cs="Calibri"/>
              </w:rPr>
              <w:t xml:space="preserve">En </w:t>
            </w:r>
            <w:r>
              <w:rPr>
                <w:rFonts w:ascii="Calibri" w:hAnsi="Calibri" w:cs="Calibri"/>
              </w:rPr>
              <w:t xml:space="preserve">el rubro </w:t>
            </w:r>
            <w:r w:rsidRPr="00945D5F">
              <w:rPr>
                <w:rFonts w:ascii="Calibri" w:hAnsi="Calibri" w:cs="Calibri"/>
              </w:rPr>
              <w:t xml:space="preserve">áreas </w:t>
            </w:r>
            <w:proofErr w:type="spellStart"/>
            <w:r w:rsidRPr="00945D5F">
              <w:rPr>
                <w:rFonts w:ascii="Calibri" w:hAnsi="Calibri" w:cs="Calibri"/>
              </w:rPr>
              <w:t>resguardantes</w:t>
            </w:r>
            <w:proofErr w:type="spellEnd"/>
            <w:r w:rsidRPr="00945D5F">
              <w:rPr>
                <w:rFonts w:ascii="Calibri" w:hAnsi="Calibri" w:cs="Calibri"/>
              </w:rPr>
              <w:t>, poner las tres áreas que generan programas</w:t>
            </w:r>
            <w:r>
              <w:rPr>
                <w:rFonts w:ascii="Calibri" w:hAnsi="Calibri" w:cs="Calibri"/>
              </w:rPr>
              <w:t xml:space="preserve"> en el Instituto</w:t>
            </w:r>
            <w:r w:rsidRPr="00945D5F">
              <w:rPr>
                <w:rFonts w:ascii="Calibri" w:hAnsi="Calibri" w:cs="Calibri"/>
              </w:rPr>
              <w:t>.</w:t>
            </w:r>
          </w:p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solicita que la DCCEADP enví</w:t>
            </w:r>
            <w:r w:rsidRPr="00945D5F">
              <w:rPr>
                <w:rFonts w:ascii="Calibri" w:hAnsi="Calibri" w:cs="Calibri"/>
              </w:rPr>
              <w:t xml:space="preserve">e </w:t>
            </w:r>
            <w:r>
              <w:rPr>
                <w:rFonts w:ascii="Calibri" w:hAnsi="Calibri" w:cs="Calibri"/>
              </w:rPr>
              <w:t xml:space="preserve">por correo electrónico </w:t>
            </w:r>
            <w:r w:rsidRPr="00945D5F">
              <w:rPr>
                <w:rFonts w:ascii="Calibri" w:hAnsi="Calibri" w:cs="Calibri"/>
              </w:rPr>
              <w:t>al ACA el texto de cada uno de los artículos que mencionan la función por la cual se genera la serie documental.</w:t>
            </w:r>
          </w:p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 w:rsidRPr="00945D5F">
              <w:rPr>
                <w:rFonts w:ascii="Calibri" w:hAnsi="Calibri" w:cs="Calibri"/>
              </w:rPr>
              <w:t xml:space="preserve">En </w:t>
            </w:r>
            <w:r>
              <w:rPr>
                <w:rFonts w:ascii="Calibri" w:hAnsi="Calibri" w:cs="Calibri"/>
              </w:rPr>
              <w:t>el rubro de á</w:t>
            </w:r>
            <w:r w:rsidRPr="00945D5F">
              <w:rPr>
                <w:rFonts w:ascii="Calibri" w:hAnsi="Calibri" w:cs="Calibri"/>
              </w:rPr>
              <w:t xml:space="preserve">reas que intervienen, </w:t>
            </w:r>
            <w:r>
              <w:rPr>
                <w:rFonts w:ascii="Calibri" w:hAnsi="Calibri" w:cs="Calibri"/>
              </w:rPr>
              <w:t>se propone incorporar al Consejo General</w:t>
            </w:r>
            <w:r w:rsidRPr="00945D5F">
              <w:rPr>
                <w:rFonts w:ascii="Calibri" w:hAnsi="Calibri" w:cs="Calibri"/>
              </w:rPr>
              <w:t xml:space="preserve"> quien aprueba los programas.</w:t>
            </w:r>
          </w:p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 w:rsidRPr="00945D5F"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</w:rPr>
              <w:t>a fecha de inicio de la serie sería</w:t>
            </w:r>
            <w:r w:rsidRPr="00945D5F">
              <w:rPr>
                <w:rFonts w:ascii="Calibri" w:hAnsi="Calibri" w:cs="Calibri"/>
              </w:rPr>
              <w:t xml:space="preserve"> 2015.</w:t>
            </w:r>
          </w:p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 w:rsidRPr="00945D5F">
              <w:rPr>
                <w:rFonts w:ascii="Calibri" w:hAnsi="Calibri" w:cs="Calibri"/>
              </w:rPr>
              <w:t>Se propone que la tipología documental sean oficios y programas anuales.</w:t>
            </w:r>
          </w:p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 w:rsidRPr="00945D5F">
              <w:rPr>
                <w:rFonts w:ascii="Calibri" w:hAnsi="Calibri" w:cs="Calibri"/>
              </w:rPr>
              <w:t xml:space="preserve">El valor primario de la serie es administrativo </w:t>
            </w:r>
          </w:p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propone que los p</w:t>
            </w:r>
            <w:r w:rsidRPr="00945D5F">
              <w:rPr>
                <w:rFonts w:ascii="Calibri" w:hAnsi="Calibri" w:cs="Calibri"/>
              </w:rPr>
              <w:t>lazos de conservación</w:t>
            </w:r>
            <w:r>
              <w:rPr>
                <w:rFonts w:ascii="Calibri" w:hAnsi="Calibri" w:cs="Calibri"/>
              </w:rPr>
              <w:t xml:space="preserve"> sean 2 años en A.T., 3 en A.C. y vigencia documental de 5 años.</w:t>
            </w:r>
          </w:p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 w:rsidRPr="00945D5F">
              <w:rPr>
                <w:rFonts w:ascii="Calibri" w:hAnsi="Calibri" w:cs="Calibri"/>
              </w:rPr>
              <w:t>Se recomienda que la conservación sea total y los valores secundarios sean informativo y testimonial.</w:t>
            </w:r>
          </w:p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 w:rsidRPr="00945D5F">
              <w:rPr>
                <w:rFonts w:ascii="Calibri" w:hAnsi="Calibri" w:cs="Calibri"/>
              </w:rPr>
              <w:t xml:space="preserve">En el rubro Titular de área </w:t>
            </w:r>
            <w:proofErr w:type="spellStart"/>
            <w:r w:rsidRPr="00945D5F">
              <w:rPr>
                <w:rFonts w:ascii="Calibri" w:hAnsi="Calibri" w:cs="Calibri"/>
              </w:rPr>
              <w:t>resguardante</w:t>
            </w:r>
            <w:proofErr w:type="spellEnd"/>
            <w:r w:rsidRPr="00945D5F">
              <w:rPr>
                <w:rFonts w:ascii="Calibri" w:hAnsi="Calibri" w:cs="Calibri"/>
              </w:rPr>
              <w:t xml:space="preserve"> poner a las </w:t>
            </w:r>
            <w:r>
              <w:rPr>
                <w:rFonts w:ascii="Calibri" w:hAnsi="Calibri" w:cs="Calibri"/>
              </w:rPr>
              <w:t>titulares de las 3 áreas y las y los</w:t>
            </w:r>
            <w:r w:rsidRPr="00945D5F">
              <w:rPr>
                <w:rFonts w:ascii="Calibri" w:hAnsi="Calibri" w:cs="Calibri"/>
              </w:rPr>
              <w:t xml:space="preserve"> RAT</w:t>
            </w:r>
            <w:r>
              <w:rPr>
                <w:rFonts w:ascii="Calibri" w:hAnsi="Calibri" w:cs="Calibri"/>
              </w:rPr>
              <w:t xml:space="preserve"> de las tres áreas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Pr="00945D5F" w:rsidRDefault="00D72D7C" w:rsidP="00705924">
            <w:pPr>
              <w:rPr>
                <w:rFonts w:ascii="Calibri" w:hAnsi="Calibri" w:cs="Calibri"/>
              </w:rPr>
            </w:pPr>
            <w:r w:rsidRPr="00945D5F">
              <w:rPr>
                <w:rFonts w:ascii="Calibri" w:hAnsi="Calibri" w:cs="Calibri"/>
              </w:rPr>
              <w:t>2C.4</w:t>
            </w:r>
          </w:p>
        </w:tc>
        <w:tc>
          <w:tcPr>
            <w:tcW w:w="7943" w:type="dxa"/>
          </w:tcPr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 w:rsidRPr="00945D5F">
              <w:rPr>
                <w:rFonts w:ascii="Calibri" w:hAnsi="Calibri" w:cs="Calibri"/>
              </w:rPr>
              <w:t>Sin observaciones.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Pr="00945D5F" w:rsidRDefault="00D72D7C" w:rsidP="00705924">
            <w:pPr>
              <w:rPr>
                <w:rFonts w:ascii="Calibri" w:hAnsi="Calibri" w:cs="Calibri"/>
              </w:rPr>
            </w:pPr>
            <w:r w:rsidRPr="00945D5F">
              <w:rPr>
                <w:rFonts w:ascii="Calibri" w:hAnsi="Calibri" w:cs="Calibri"/>
              </w:rPr>
              <w:t>3C.1</w:t>
            </w:r>
          </w:p>
        </w:tc>
        <w:tc>
          <w:tcPr>
            <w:tcW w:w="7943" w:type="dxa"/>
          </w:tcPr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 w:rsidRPr="00945D5F">
              <w:rPr>
                <w:rFonts w:ascii="Calibri" w:hAnsi="Calibri" w:cs="Calibri"/>
              </w:rPr>
              <w:t>En el rubro áreas que intervienen, sustituir Presidencia por Ponencia de la Presidencia del Consejo General.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Pr="00945D5F" w:rsidRDefault="00D72D7C" w:rsidP="00705924">
            <w:pPr>
              <w:rPr>
                <w:rFonts w:ascii="Calibri" w:hAnsi="Calibri" w:cs="Calibri"/>
              </w:rPr>
            </w:pPr>
            <w:r w:rsidRPr="00945D5F">
              <w:rPr>
                <w:rFonts w:ascii="Calibri" w:hAnsi="Calibri" w:cs="Calibri"/>
              </w:rPr>
              <w:t>3C.2</w:t>
            </w:r>
          </w:p>
        </w:tc>
        <w:tc>
          <w:tcPr>
            <w:tcW w:w="7943" w:type="dxa"/>
          </w:tcPr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 w:rsidRPr="00945D5F">
              <w:rPr>
                <w:rFonts w:ascii="Calibri" w:hAnsi="Calibri" w:cs="Calibri"/>
              </w:rPr>
              <w:t xml:space="preserve">Se considera que la serie no cuenta con valores secundarios y que no es de conservación permanente, tomando en cuenta el principio diplomático que tiene que ver con las características del documento, si son originales o copia, si está completo o es solamente una fracción del proceso y considerando que se dará preferencia a expedientes integrados con documentación original y que estén completos, es decir, que tengan integrado todo el proceso en cuestión. 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Pr="00945D5F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4C.1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considera que la serie no cuenta con valor legal dado que solo responde a una necesidad administrativa.</w:t>
            </w:r>
          </w:p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considera que la serie documental no cuenta con valor secundario dado que no evidencia aspectos de evolución o cambios trascendentales en la institución y que es información que ya obra en otros documentos, por lo tanto, se considera que no es de conservación permanente y se propone que vaya a baja documental. 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4C.2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Eliminar de la tipología documental el contendor en el que se encuentran lo</w:t>
            </w:r>
            <w:r w:rsidRPr="00C31CD8">
              <w:rPr>
                <w:rFonts w:ascii="Calibri" w:hAnsi="Calibri" w:cs="Calibri"/>
              </w:rPr>
              <w:t>s documentos especificar que contiene recibos de pagos de nómina</w:t>
            </w:r>
            <w:r>
              <w:rPr>
                <w:rFonts w:ascii="Calibri" w:hAnsi="Calibri" w:cs="Calibri"/>
              </w:rPr>
              <w:t>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  <w:strike/>
              </w:rPr>
            </w:pPr>
          </w:p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recomienda que la vigencia total de la serie sea de 25 años, 2 en AT y 23 en AC, esto, con la finalidad de que las y los trabajadores que así lo requieran, pueda acceder a su expediente para trámites que tengan que ver por ejemplo, con su jubilación.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4C.3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Los datos personales no son una tipología documental y se sugiere que se elimine del rubro.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</w:p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recomienda que la vigencia total de la serie sea de 25 años, 2 en AT y 23 en AC esto, con la finalidad de que las y los trabajadores que así lo requieran, pueda acceder a su expediente para trámites que tengan que ver por ejemplo, con su jubilación.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4C.4</w:t>
            </w:r>
          </w:p>
        </w:tc>
        <w:tc>
          <w:tcPr>
            <w:tcW w:w="7943" w:type="dxa"/>
          </w:tcPr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considera que la serie solo cuenta con valor administrativo y no legal y contable.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4C.5 </w:t>
            </w:r>
          </w:p>
        </w:tc>
        <w:tc>
          <w:tcPr>
            <w:tcW w:w="7943" w:type="dxa"/>
          </w:tcPr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considera que la serie documental no cuenta con valor secundario dado que no evidencia aspectos de evolución o cambios trascendentales en la institución, por lo tanto se considera que no es de conservación permanente y se propone que la disposición final sea baja documental.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5C.1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</w:p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considera que la serie documental no cuenta con valor secundario dado que no evidencia aspectos de evolución  o cambios trascendentales en la institución en su función sustantiva, por lo tanto se considera que no es de conservación permanente e iría a baja documental.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5C.2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 w:rsidRPr="00945D5F">
              <w:rPr>
                <w:rFonts w:ascii="Calibri" w:hAnsi="Calibri" w:cs="Calibri"/>
              </w:rPr>
              <w:t>En el rubro áreas que intervienen, sustituir Presidencia por Ponencia de la Presidencia del Consejo General.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</w:p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considera que la serie documental no cuenta con valor secundario dado que no evidencia aspectos de evolución  o cambios trascendentales en la institución en su función sustantiva, por lo tanto se considera que no es de conservación permanente e iría a baja documental.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5C.3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 w:rsidRPr="00945D5F">
              <w:rPr>
                <w:rFonts w:ascii="Calibri" w:hAnsi="Calibri" w:cs="Calibri"/>
              </w:rPr>
              <w:t>En el rubro áreas que intervienen, sustituir Presidencia por Ponencia de la Presidencia del Consejo General.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</w:p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considera que la serie documental no cuenta con valor secundario dado que no evidencia aspectos de evolución  o cambios trascendentales en la institución en su función sustantiva, por lo tanto se considera que no es de conservación permanente e iría a baja documental.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6C.1</w:t>
            </w:r>
          </w:p>
        </w:tc>
        <w:tc>
          <w:tcPr>
            <w:tcW w:w="7943" w:type="dxa"/>
          </w:tcPr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 observaciones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6C.2</w:t>
            </w:r>
          </w:p>
        </w:tc>
        <w:tc>
          <w:tcPr>
            <w:tcW w:w="7943" w:type="dxa"/>
          </w:tcPr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Sin observaciones 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6C.3</w:t>
            </w:r>
          </w:p>
        </w:tc>
        <w:tc>
          <w:tcPr>
            <w:tcW w:w="7943" w:type="dxa"/>
          </w:tcPr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considera que la serie documental no cuenta con valor secundario dado que no evidencia aspectos de evolución  o cambios trascendentales en la institución </w:t>
            </w:r>
            <w:r>
              <w:rPr>
                <w:rFonts w:ascii="Calibri" w:hAnsi="Calibri" w:cs="Calibri"/>
              </w:rPr>
              <w:lastRenderedPageBreak/>
              <w:t>en su función sustantiva, por lo tanto se considera que no es de conservación permanente e iría a baja documental.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6C.4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 w:rsidRPr="00945D5F">
              <w:rPr>
                <w:rFonts w:ascii="Calibri" w:hAnsi="Calibri" w:cs="Calibri"/>
              </w:rPr>
              <w:t>En el rubro áreas que intervienen, sustituir Presidencia por Ponencia de la Presidencia del Consejo General.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</w:p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considera que la serie documental no tiene valores secundarios, dado que se refiere a los bienes muebles y no a un bien patrimonial, por lo tanto no sería de conservación permanente.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6C.5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considera que la serie documental solo tiene valor administrativo.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</w:p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recomienda que los años de guarda en el archivo de concentración sean 2, dado que en este periodo en el archivo de concentración, la consulta de la información relativa a la serie documental ha sido nula.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6C.6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 w:rsidRPr="00945D5F">
              <w:rPr>
                <w:rFonts w:ascii="Calibri" w:hAnsi="Calibri" w:cs="Calibri"/>
              </w:rPr>
              <w:t xml:space="preserve">En el rubro áreas que intervienen, sustituir </w:t>
            </w:r>
            <w:r>
              <w:rPr>
                <w:rFonts w:ascii="Calibri" w:hAnsi="Calibri" w:cs="Calibri"/>
              </w:rPr>
              <w:t>Comisionados por Ponencias del Consejo General</w:t>
            </w:r>
            <w:r w:rsidRPr="00945D5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</w:p>
          <w:p w:rsidR="00D72D7C" w:rsidRPr="00396785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el rubro de tipología documental, especificar si se trata de oficios y programas de mantenimiento.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6C.7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 w:rsidRPr="00945D5F">
              <w:rPr>
                <w:rFonts w:ascii="Calibri" w:hAnsi="Calibri" w:cs="Calibri"/>
              </w:rPr>
              <w:t xml:space="preserve">En el rubro áreas que intervienen, sustituir </w:t>
            </w:r>
            <w:r>
              <w:rPr>
                <w:rFonts w:ascii="Calibri" w:hAnsi="Calibri" w:cs="Calibri"/>
              </w:rPr>
              <w:t>Comisionados por Ponencias del Consejo General</w:t>
            </w:r>
            <w:r w:rsidRPr="00945D5F">
              <w:rPr>
                <w:rFonts w:ascii="Calibri" w:hAnsi="Calibri" w:cs="Calibri"/>
              </w:rPr>
              <w:t>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 el rubro de tipología documental, especificar que se trata de oficios, </w:t>
            </w:r>
            <w:r w:rsidRPr="00396785">
              <w:rPr>
                <w:rFonts w:ascii="Calibri" w:hAnsi="Calibri" w:cs="Calibri"/>
              </w:rPr>
              <w:t>registro, facturas.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considera que la serie documental solo tiene valor administrativo.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recomienda que los años de guarda en el archivo de concentración sean 4, dado que, durante este periodo en el archivo de concentración, la consulta de la información relativa a la serie documental ha con esa frecuencia.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</w:p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considera que la serie documental no cuenta con valor secundario dado que no evidencia aspectos de evolución  o cambios trascendentales en la institución en su función sustantiva, por lo tanto se considera que no es de conservación permanente y se propone que su disposición final sea baja documental.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7C.1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 el rubro de tipología documental, especificar el tipo de documentos que generan (Oficios, </w:t>
            </w:r>
            <w:r w:rsidRPr="00B644D9">
              <w:rPr>
                <w:rFonts w:ascii="Calibri" w:hAnsi="Calibri" w:cs="Calibri"/>
              </w:rPr>
              <w:t xml:space="preserve">memoria técnica). </w:t>
            </w:r>
          </w:p>
          <w:p w:rsidR="00D72D7C" w:rsidRPr="00B644D9" w:rsidRDefault="00D72D7C" w:rsidP="00705924">
            <w:pPr>
              <w:jc w:val="both"/>
              <w:rPr>
                <w:rFonts w:ascii="Calibri" w:hAnsi="Calibri" w:cs="Calibri"/>
              </w:rPr>
            </w:pPr>
            <w:r w:rsidRPr="00B644D9">
              <w:rPr>
                <w:rFonts w:ascii="Calibri" w:hAnsi="Calibri" w:cs="Calibri"/>
              </w:rPr>
              <w:t>La Dirección de Tecnologías de la Transparencia en enviará por correo a ACA la tipología de cada una de las fichas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</w:p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considera que la serie documental no cuenta con valor secundario dado que no evidencia aspectos de evolución o cambios trascendentales en la institución en su función sustantiva, por lo tanto, se considera que no es de conservación </w:t>
            </w:r>
            <w:r>
              <w:rPr>
                <w:rFonts w:ascii="Calibri" w:hAnsi="Calibri" w:cs="Calibri"/>
              </w:rPr>
              <w:lastRenderedPageBreak/>
              <w:t>permanente y se propone que su disposición final sea baja documental. (Es una herramienta)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7C.2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el rubro de tipología documental, especificar el tipo de documentos que generan (Oficios).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 w:rsidRPr="00B644D9">
              <w:rPr>
                <w:rFonts w:ascii="Calibri" w:hAnsi="Calibri" w:cs="Calibri"/>
              </w:rPr>
              <w:t>La Dirección de Tecnologías de la Transparencia en enviará por correo a ACA la tipología de cada una de las fichas</w:t>
            </w:r>
          </w:p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considera que la serie documental no cuenta con valor secundario dado que no evidencia aspectos de evolución  o cambios trascendentales en la institución en su función sustantiva, por lo tanto se considera que no es de conservación permanente y se propone que su disposición final sea baja documental.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7C.3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el rubro de tipología documental, especificar el tipo de documentos que generan (Oficios).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 w:rsidRPr="00B644D9">
              <w:rPr>
                <w:rFonts w:ascii="Calibri" w:hAnsi="Calibri" w:cs="Calibri"/>
              </w:rPr>
              <w:t>La Dirección de Tecnologías de la Transparencia en enviará por correo a ACA la tipología de cada una de las fichas</w:t>
            </w:r>
          </w:p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considera que la serie documental no cuenta con valor secundario dado que no evidencia aspectos de evolución  o cambios trascendentales en la institución en su función sustantiva, por lo tanto se considera que no es de conservación permanente y se propone que su disposición final sea baja documental.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7C.4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el rubro de tipología documental, especificar el tipo de documentos que generan (Oficios y dictámenes).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considera que la serie documental solo tiene valor administrativo y no legal. 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 w:rsidRPr="00B644D9">
              <w:rPr>
                <w:rFonts w:ascii="Calibri" w:hAnsi="Calibri" w:cs="Calibri"/>
              </w:rPr>
              <w:t>La Dirección de Tecnologías de la Transparencia en enviará por correo a ACA la tipología de cada una de las fichas</w:t>
            </w:r>
          </w:p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considera que la serie documental no cuenta con valor secundario dado que no evidencia aspectos de evolución  o cambios trascendentales en la institución en su función sustantiva, por lo tanto se considera que no es de conservación permanente y se propone que su disposición final sea baja documental.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8C.1</w:t>
            </w:r>
          </w:p>
        </w:tc>
        <w:tc>
          <w:tcPr>
            <w:tcW w:w="7943" w:type="dxa"/>
          </w:tcPr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 observaciones.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8C.2</w:t>
            </w:r>
          </w:p>
        </w:tc>
        <w:tc>
          <w:tcPr>
            <w:tcW w:w="7943" w:type="dxa"/>
          </w:tcPr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 observaciones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8C.3</w:t>
            </w:r>
          </w:p>
        </w:tc>
        <w:tc>
          <w:tcPr>
            <w:tcW w:w="7943" w:type="dxa"/>
          </w:tcPr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 observaciones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9C.1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considera que la serie documental cuenta con valor legal.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</w:p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considera que la serie documental no cuenta con valor secundario, dado que el valor </w:t>
            </w:r>
            <w:proofErr w:type="spellStart"/>
            <w:r>
              <w:rPr>
                <w:rFonts w:ascii="Calibri" w:hAnsi="Calibri" w:cs="Calibri"/>
              </w:rPr>
              <w:t>evidencial</w:t>
            </w:r>
            <w:proofErr w:type="spellEnd"/>
            <w:r>
              <w:rPr>
                <w:rFonts w:ascii="Calibri" w:hAnsi="Calibri" w:cs="Calibri"/>
              </w:rPr>
              <w:t xml:space="preserve"> es el que determina</w:t>
            </w:r>
            <w:r w:rsidRPr="00AA4D8C">
              <w:rPr>
                <w:rFonts w:ascii="Calibri" w:hAnsi="Calibri" w:cs="Calibri"/>
              </w:rPr>
              <w:t xml:space="preserve"> un valor permanente en vi</w:t>
            </w:r>
            <w:r>
              <w:rPr>
                <w:rFonts w:ascii="Calibri" w:hAnsi="Calibri" w:cs="Calibri"/>
              </w:rPr>
              <w:t xml:space="preserve">rtud de derechos y obligaciones </w:t>
            </w:r>
            <w:r w:rsidRPr="00AA4D8C">
              <w:rPr>
                <w:rFonts w:ascii="Calibri" w:hAnsi="Calibri" w:cs="Calibri"/>
              </w:rPr>
              <w:t xml:space="preserve">imprescriptibles que revelan origen, organización </w:t>
            </w:r>
            <w:r>
              <w:rPr>
                <w:rFonts w:ascii="Calibri" w:hAnsi="Calibri" w:cs="Calibri"/>
              </w:rPr>
              <w:t xml:space="preserve">y desarrollo de la Institución. </w:t>
            </w:r>
            <w:r w:rsidRPr="00AA4D8C">
              <w:rPr>
                <w:rFonts w:ascii="Calibri" w:hAnsi="Calibri" w:cs="Calibri"/>
              </w:rPr>
              <w:t>Ejemplo: bienes patrimoniales</w:t>
            </w:r>
            <w:r>
              <w:rPr>
                <w:rFonts w:ascii="Calibri" w:hAnsi="Calibri" w:cs="Calibri"/>
              </w:rPr>
              <w:t>, por lo tanto, se considera que no es de conservación permanente y se propone que se disposición final sea baja documental.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9C.2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considera que la serie documental no cuenta con valor secundario, dado que el valor </w:t>
            </w:r>
            <w:proofErr w:type="spellStart"/>
            <w:r>
              <w:rPr>
                <w:rFonts w:ascii="Calibri" w:hAnsi="Calibri" w:cs="Calibri"/>
              </w:rPr>
              <w:t>evidencial</w:t>
            </w:r>
            <w:proofErr w:type="spellEnd"/>
            <w:r>
              <w:rPr>
                <w:rFonts w:ascii="Calibri" w:hAnsi="Calibri" w:cs="Calibri"/>
              </w:rPr>
              <w:t xml:space="preserve"> es el que determina</w:t>
            </w:r>
            <w:r w:rsidRPr="00AA4D8C">
              <w:rPr>
                <w:rFonts w:ascii="Calibri" w:hAnsi="Calibri" w:cs="Calibri"/>
              </w:rPr>
              <w:t xml:space="preserve"> un valor permanente en vi</w:t>
            </w:r>
            <w:r>
              <w:rPr>
                <w:rFonts w:ascii="Calibri" w:hAnsi="Calibri" w:cs="Calibri"/>
              </w:rPr>
              <w:t xml:space="preserve">rtud de </w:t>
            </w:r>
            <w:r>
              <w:rPr>
                <w:rFonts w:ascii="Calibri" w:hAnsi="Calibri" w:cs="Calibri"/>
              </w:rPr>
              <w:lastRenderedPageBreak/>
              <w:t xml:space="preserve">derechos y obligaciones </w:t>
            </w:r>
            <w:r w:rsidRPr="00AA4D8C">
              <w:rPr>
                <w:rFonts w:ascii="Calibri" w:hAnsi="Calibri" w:cs="Calibri"/>
              </w:rPr>
              <w:t xml:space="preserve">imprescriptibles que revelan origen, organización </w:t>
            </w:r>
            <w:r>
              <w:rPr>
                <w:rFonts w:ascii="Calibri" w:hAnsi="Calibri" w:cs="Calibri"/>
              </w:rPr>
              <w:t xml:space="preserve">y desarrollo de la Institución. </w:t>
            </w:r>
            <w:r w:rsidRPr="00AA4D8C">
              <w:rPr>
                <w:rFonts w:ascii="Calibri" w:hAnsi="Calibri" w:cs="Calibri"/>
              </w:rPr>
              <w:t>Ejemplo: bienes patrimoniales</w:t>
            </w:r>
            <w:r>
              <w:rPr>
                <w:rFonts w:ascii="Calibri" w:hAnsi="Calibri" w:cs="Calibri"/>
              </w:rPr>
              <w:t xml:space="preserve">. 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</w:p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 su parte, los valores testimoniales son los que evidencian aspectos de evolución o cambios trascendentales en la institución en su función sustantiva, por lo tanto se considera que no es de conservación permanente y se propone que su disposición final sea baja documental.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9C.3</w:t>
            </w:r>
          </w:p>
        </w:tc>
        <w:tc>
          <w:tcPr>
            <w:tcW w:w="7943" w:type="dxa"/>
          </w:tcPr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considera que la serie documental no cuenta con valor secundario, dado que el valor </w:t>
            </w:r>
            <w:proofErr w:type="spellStart"/>
            <w:r>
              <w:rPr>
                <w:rFonts w:ascii="Calibri" w:hAnsi="Calibri" w:cs="Calibri"/>
              </w:rPr>
              <w:t>evidencial</w:t>
            </w:r>
            <w:proofErr w:type="spellEnd"/>
            <w:r>
              <w:rPr>
                <w:rFonts w:ascii="Calibri" w:hAnsi="Calibri" w:cs="Calibri"/>
              </w:rPr>
              <w:t xml:space="preserve"> es el que determina</w:t>
            </w:r>
            <w:r w:rsidRPr="00AA4D8C">
              <w:rPr>
                <w:rFonts w:ascii="Calibri" w:hAnsi="Calibri" w:cs="Calibri"/>
              </w:rPr>
              <w:t xml:space="preserve"> un valor permanente en vi</w:t>
            </w:r>
            <w:r>
              <w:rPr>
                <w:rFonts w:ascii="Calibri" w:hAnsi="Calibri" w:cs="Calibri"/>
              </w:rPr>
              <w:t xml:space="preserve">rtud de derechos y obligaciones </w:t>
            </w:r>
            <w:r w:rsidRPr="00AA4D8C">
              <w:rPr>
                <w:rFonts w:ascii="Calibri" w:hAnsi="Calibri" w:cs="Calibri"/>
              </w:rPr>
              <w:t xml:space="preserve">imprescriptibles que revelan origen, organización </w:t>
            </w:r>
            <w:r>
              <w:rPr>
                <w:rFonts w:ascii="Calibri" w:hAnsi="Calibri" w:cs="Calibri"/>
              </w:rPr>
              <w:t xml:space="preserve">y desarrollo de la Institución. </w:t>
            </w:r>
            <w:r w:rsidRPr="00AA4D8C">
              <w:rPr>
                <w:rFonts w:ascii="Calibri" w:hAnsi="Calibri" w:cs="Calibri"/>
              </w:rPr>
              <w:t>Ejemplo: bienes patrimoniales</w:t>
            </w:r>
            <w:r>
              <w:rPr>
                <w:rFonts w:ascii="Calibri" w:hAnsi="Calibri" w:cs="Calibri"/>
              </w:rPr>
              <w:t>, por lo tanto se considera que no es de conservación permanente y se propone que su disposición final sea baja documental.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9C.4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considera que la serie documental cuenta con valor legal.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considera que la serie documental no cuenta con valor secundario, dado que el valor </w:t>
            </w:r>
            <w:proofErr w:type="spellStart"/>
            <w:r>
              <w:rPr>
                <w:rFonts w:ascii="Calibri" w:hAnsi="Calibri" w:cs="Calibri"/>
              </w:rPr>
              <w:t>evidencial</w:t>
            </w:r>
            <w:proofErr w:type="spellEnd"/>
            <w:r>
              <w:rPr>
                <w:rFonts w:ascii="Calibri" w:hAnsi="Calibri" w:cs="Calibri"/>
              </w:rPr>
              <w:t xml:space="preserve"> es el que determina</w:t>
            </w:r>
            <w:r w:rsidRPr="00AA4D8C">
              <w:rPr>
                <w:rFonts w:ascii="Calibri" w:hAnsi="Calibri" w:cs="Calibri"/>
              </w:rPr>
              <w:t xml:space="preserve"> un valor permanente en vi</w:t>
            </w:r>
            <w:r>
              <w:rPr>
                <w:rFonts w:ascii="Calibri" w:hAnsi="Calibri" w:cs="Calibri"/>
              </w:rPr>
              <w:t xml:space="preserve">rtud de derechos y obligaciones </w:t>
            </w:r>
            <w:r w:rsidRPr="00AA4D8C">
              <w:rPr>
                <w:rFonts w:ascii="Calibri" w:hAnsi="Calibri" w:cs="Calibri"/>
              </w:rPr>
              <w:t xml:space="preserve">imprescriptibles que revelan origen, organización </w:t>
            </w:r>
            <w:r>
              <w:rPr>
                <w:rFonts w:ascii="Calibri" w:hAnsi="Calibri" w:cs="Calibri"/>
              </w:rPr>
              <w:t xml:space="preserve">y desarrollo de la Institución. </w:t>
            </w:r>
            <w:r w:rsidRPr="00AA4D8C">
              <w:rPr>
                <w:rFonts w:ascii="Calibri" w:hAnsi="Calibri" w:cs="Calibri"/>
              </w:rPr>
              <w:t>Ejemplo: bienes patrimoniales</w:t>
            </w:r>
            <w:r>
              <w:rPr>
                <w:rFonts w:ascii="Calibri" w:hAnsi="Calibri" w:cs="Calibri"/>
              </w:rPr>
              <w:t xml:space="preserve">. 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</w:p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 su parte, los valores testimoniales son los que evidencian aspectos de evolución o cambios trascendentales en la institución en su función sustantiva, por lo tanto se considera que no es de conservación permanente y se propone que su disposición final sea baja documental..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9C.5</w:t>
            </w:r>
          </w:p>
        </w:tc>
        <w:tc>
          <w:tcPr>
            <w:tcW w:w="7943" w:type="dxa"/>
          </w:tcPr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 observaciones.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9C.6</w:t>
            </w:r>
          </w:p>
        </w:tc>
        <w:tc>
          <w:tcPr>
            <w:tcW w:w="7943" w:type="dxa"/>
          </w:tcPr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 observaciones.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10C.1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Sin observaciones 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10C.2</w:t>
            </w:r>
          </w:p>
        </w:tc>
        <w:tc>
          <w:tcPr>
            <w:tcW w:w="7943" w:type="dxa"/>
          </w:tcPr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Sin observaciones. 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10C.3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Sin observaciones. 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10C.4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Sin observaciones. 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Pr="001932F9" w:rsidRDefault="00D72D7C" w:rsidP="00705924">
            <w:pPr>
              <w:rPr>
                <w:rFonts w:ascii="Calibri" w:hAnsi="Calibri" w:cs="Calibri"/>
              </w:rPr>
            </w:pPr>
            <w:r w:rsidRPr="001932F9">
              <w:rPr>
                <w:rFonts w:ascii="Calibri" w:hAnsi="Calibri" w:cs="Calibri"/>
              </w:rPr>
              <w:t>10C.5</w:t>
            </w:r>
          </w:p>
        </w:tc>
        <w:tc>
          <w:tcPr>
            <w:tcW w:w="7943" w:type="dxa"/>
          </w:tcPr>
          <w:p w:rsidR="00D72D7C" w:rsidRPr="001932F9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</w:t>
            </w:r>
            <w:r w:rsidRPr="001932F9">
              <w:rPr>
                <w:rFonts w:ascii="Calibri" w:hAnsi="Calibri" w:cs="Calibri"/>
              </w:rPr>
              <w:t xml:space="preserve"> DCCEADP </w:t>
            </w:r>
            <w:r>
              <w:rPr>
                <w:rFonts w:ascii="Calibri" w:hAnsi="Calibri" w:cs="Calibri"/>
              </w:rPr>
              <w:t>enviará por correo electrónico a</w:t>
            </w:r>
            <w:r w:rsidRPr="001932F9">
              <w:rPr>
                <w:rFonts w:ascii="Calibri" w:hAnsi="Calibri" w:cs="Calibri"/>
              </w:rPr>
              <w:t>l ACA el texto de cada uno de los artículos que mencionan la función por la cual se genera la serie documental.</w:t>
            </w:r>
          </w:p>
          <w:p w:rsidR="00D72D7C" w:rsidRPr="001932F9" w:rsidRDefault="00D72D7C" w:rsidP="00705924">
            <w:pPr>
              <w:jc w:val="both"/>
              <w:rPr>
                <w:rFonts w:ascii="Calibri" w:hAnsi="Calibri" w:cs="Calibri"/>
              </w:rPr>
            </w:pPr>
          </w:p>
          <w:p w:rsidR="00D72D7C" w:rsidRPr="001932F9" w:rsidRDefault="00D72D7C" w:rsidP="00705924">
            <w:pPr>
              <w:jc w:val="both"/>
              <w:rPr>
                <w:rFonts w:ascii="Calibri" w:hAnsi="Calibri" w:cs="Calibri"/>
              </w:rPr>
            </w:pPr>
            <w:r w:rsidRPr="001932F9">
              <w:rPr>
                <w:rFonts w:ascii="Calibri" w:hAnsi="Calibri" w:cs="Calibri"/>
              </w:rPr>
              <w:t xml:space="preserve">Se recomienda que los plazos de conservación sean de 2 en AT y 3 en AC, para dar un total de 5 años, dado que los plazos de conservación corren a partir de que cierra el expediente. 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11C.1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 w:rsidRPr="00945D5F">
              <w:rPr>
                <w:rFonts w:ascii="Calibri" w:hAnsi="Calibri" w:cs="Calibri"/>
              </w:rPr>
              <w:t xml:space="preserve">Eliminar del rubro áreas que intervienen, </w:t>
            </w:r>
            <w:r>
              <w:rPr>
                <w:rFonts w:ascii="Calibri" w:hAnsi="Calibri" w:cs="Calibri"/>
              </w:rPr>
              <w:t>al Área Coordinadora de Archivos</w:t>
            </w:r>
            <w:r w:rsidRPr="00945D5F">
              <w:rPr>
                <w:rFonts w:ascii="Calibri" w:hAnsi="Calibri" w:cs="Calibri"/>
              </w:rPr>
              <w:t>, dado que es la Unidad que está valorando la serie documental.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11C.2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 observaciones.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11C.3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considera que la serie no cuenta con valores secundarios.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11C.4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Sin observaciones. 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1S.1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Incorporar al rubro de área </w:t>
            </w:r>
            <w:proofErr w:type="spellStart"/>
            <w:r>
              <w:rPr>
                <w:rFonts w:ascii="Calibri" w:hAnsi="Calibri" w:cs="Calibri"/>
              </w:rPr>
              <w:t>resguardante</w:t>
            </w:r>
            <w:proofErr w:type="spellEnd"/>
            <w:r>
              <w:rPr>
                <w:rFonts w:ascii="Calibri" w:hAnsi="Calibri" w:cs="Calibri"/>
              </w:rPr>
              <w:t xml:space="preserve"> a la Secretaría General de Acuerdos.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Incorporar al rubro función por la cual se genera la serie la Fracción II del Art. 10 del Reglamento Interno.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Incorporar al rubro de Titular del Área </w:t>
            </w:r>
            <w:proofErr w:type="spellStart"/>
            <w:r>
              <w:rPr>
                <w:rFonts w:ascii="Calibri" w:hAnsi="Calibri" w:cs="Calibri"/>
              </w:rPr>
              <w:t>Resguardante</w:t>
            </w:r>
            <w:proofErr w:type="spellEnd"/>
            <w:r>
              <w:rPr>
                <w:rFonts w:ascii="Calibri" w:hAnsi="Calibri" w:cs="Calibri"/>
              </w:rPr>
              <w:t xml:space="preserve"> y a la RAT, los datos de la SGA. 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1S.2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Mencionar los valores secundarios con los que cuenta la serie (Informativo y testimonial).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2S.1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 observaciones.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2S.2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 observaciones.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3S.1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el rubro de tipología documental, especificar el tipo de documentos que generan (Registro y base de datos).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considera que la serie documental no cuenta con valores segundarios, dado que la información se concentra en los informes anuales de actividades.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3S.2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 observaciones.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3S.3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el rubro de tipología documental, especificar el tipo de documentos que generan (Oficios, formatos de solicitudes.)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considera que la serie documental no cuenta con valor secundario, dado que el valor </w:t>
            </w:r>
            <w:proofErr w:type="spellStart"/>
            <w:r>
              <w:rPr>
                <w:rFonts w:ascii="Calibri" w:hAnsi="Calibri" w:cs="Calibri"/>
              </w:rPr>
              <w:t>evidencial</w:t>
            </w:r>
            <w:proofErr w:type="spellEnd"/>
            <w:r>
              <w:rPr>
                <w:rFonts w:ascii="Calibri" w:hAnsi="Calibri" w:cs="Calibri"/>
              </w:rPr>
              <w:t xml:space="preserve"> es el que determina</w:t>
            </w:r>
            <w:r w:rsidRPr="00AA4D8C">
              <w:rPr>
                <w:rFonts w:ascii="Calibri" w:hAnsi="Calibri" w:cs="Calibri"/>
              </w:rPr>
              <w:t xml:space="preserve"> un valor permanente en vi</w:t>
            </w:r>
            <w:r>
              <w:rPr>
                <w:rFonts w:ascii="Calibri" w:hAnsi="Calibri" w:cs="Calibri"/>
              </w:rPr>
              <w:t xml:space="preserve">rtud de derechos y obligaciones </w:t>
            </w:r>
            <w:r w:rsidRPr="00AA4D8C">
              <w:rPr>
                <w:rFonts w:ascii="Calibri" w:hAnsi="Calibri" w:cs="Calibri"/>
              </w:rPr>
              <w:t xml:space="preserve">imprescriptibles que revelan origen, organización </w:t>
            </w:r>
            <w:r>
              <w:rPr>
                <w:rFonts w:ascii="Calibri" w:hAnsi="Calibri" w:cs="Calibri"/>
              </w:rPr>
              <w:t xml:space="preserve">y desarrollo de la Institución. </w:t>
            </w:r>
            <w:r w:rsidRPr="00AA4D8C">
              <w:rPr>
                <w:rFonts w:ascii="Calibri" w:hAnsi="Calibri" w:cs="Calibri"/>
              </w:rPr>
              <w:t>Ejemplo: bienes patrimoniales</w:t>
            </w:r>
            <w:r>
              <w:rPr>
                <w:rFonts w:ascii="Calibri" w:hAnsi="Calibri" w:cs="Calibri"/>
              </w:rPr>
              <w:t>, por lo tanto se considera que no es de conservación permanente y se propone que la disposición final sea baja documental.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3S.4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el rubro de tipología documental, especificar el tipo de documentos que generan.</w:t>
            </w:r>
          </w:p>
          <w:p w:rsidR="00D72D7C" w:rsidRPr="00B644D9" w:rsidRDefault="00D72D7C" w:rsidP="00705924">
            <w:pPr>
              <w:jc w:val="both"/>
              <w:rPr>
                <w:rFonts w:ascii="Calibri" w:hAnsi="Calibri" w:cs="Calibri"/>
              </w:rPr>
            </w:pPr>
            <w:r w:rsidRPr="00B644D9">
              <w:rPr>
                <w:rFonts w:ascii="Calibri" w:hAnsi="Calibri" w:cs="Calibri"/>
              </w:rPr>
              <w:t>La Dirección de Tecnologías de la Transparencia en enviará por correo a ACA la tipología de cada una de las fichas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</w:p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considera que la serie documental no cuenta con valor secundario, dado que el valor </w:t>
            </w:r>
            <w:proofErr w:type="spellStart"/>
            <w:r>
              <w:rPr>
                <w:rFonts w:ascii="Calibri" w:hAnsi="Calibri" w:cs="Calibri"/>
              </w:rPr>
              <w:t>evidencial</w:t>
            </w:r>
            <w:proofErr w:type="spellEnd"/>
            <w:r>
              <w:rPr>
                <w:rFonts w:ascii="Calibri" w:hAnsi="Calibri" w:cs="Calibri"/>
              </w:rPr>
              <w:t xml:space="preserve"> es el que determina</w:t>
            </w:r>
            <w:r w:rsidRPr="00AA4D8C">
              <w:rPr>
                <w:rFonts w:ascii="Calibri" w:hAnsi="Calibri" w:cs="Calibri"/>
              </w:rPr>
              <w:t xml:space="preserve"> un valor permanente en vi</w:t>
            </w:r>
            <w:r>
              <w:rPr>
                <w:rFonts w:ascii="Calibri" w:hAnsi="Calibri" w:cs="Calibri"/>
              </w:rPr>
              <w:t xml:space="preserve">rtud de derechos y obligaciones </w:t>
            </w:r>
            <w:r w:rsidRPr="00AA4D8C">
              <w:rPr>
                <w:rFonts w:ascii="Calibri" w:hAnsi="Calibri" w:cs="Calibri"/>
              </w:rPr>
              <w:t xml:space="preserve">imprescriptibles que revelan origen, organización </w:t>
            </w:r>
            <w:r>
              <w:rPr>
                <w:rFonts w:ascii="Calibri" w:hAnsi="Calibri" w:cs="Calibri"/>
              </w:rPr>
              <w:t xml:space="preserve">y desarrollo de la Institución. </w:t>
            </w:r>
            <w:r w:rsidRPr="00AA4D8C">
              <w:rPr>
                <w:rFonts w:ascii="Calibri" w:hAnsi="Calibri" w:cs="Calibri"/>
              </w:rPr>
              <w:t>Ejemplo: bienes patrimoniales</w:t>
            </w:r>
            <w:r>
              <w:rPr>
                <w:rFonts w:ascii="Calibri" w:hAnsi="Calibri" w:cs="Calibri"/>
              </w:rPr>
              <w:t>, por lo tanto se considera que no es de conservación permanente e iría a baja documental.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3S.5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el</w:t>
            </w:r>
            <w:r w:rsidRPr="00945D5F">
              <w:rPr>
                <w:rFonts w:ascii="Calibri" w:hAnsi="Calibri" w:cs="Calibri"/>
              </w:rPr>
              <w:t xml:space="preserve"> rubro áreas que intervienen</w:t>
            </w:r>
            <w:r>
              <w:rPr>
                <w:rFonts w:ascii="Calibri" w:hAnsi="Calibri" w:cs="Calibri"/>
              </w:rPr>
              <w:t xml:space="preserve"> describir, si es el caso, las áreas del Instituto o fuera de él que intervienen en el proceso.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 el rubro de tipología documental, especificar que el tipo de documentos que generan son Oficios y memorándums, </w:t>
            </w:r>
            <w:r w:rsidRPr="008F06CD">
              <w:rPr>
                <w:rFonts w:ascii="Calibri" w:hAnsi="Calibri" w:cs="Calibri"/>
              </w:rPr>
              <w:t>dictámenes).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</w:p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considera que la serie documental no cuenta con valor secundario, dado que el valor </w:t>
            </w:r>
            <w:proofErr w:type="spellStart"/>
            <w:r>
              <w:rPr>
                <w:rFonts w:ascii="Calibri" w:hAnsi="Calibri" w:cs="Calibri"/>
              </w:rPr>
              <w:t>evidencial</w:t>
            </w:r>
            <w:proofErr w:type="spellEnd"/>
            <w:r>
              <w:rPr>
                <w:rFonts w:ascii="Calibri" w:hAnsi="Calibri" w:cs="Calibri"/>
              </w:rPr>
              <w:t xml:space="preserve"> es el que determina</w:t>
            </w:r>
            <w:r w:rsidRPr="00AA4D8C">
              <w:rPr>
                <w:rFonts w:ascii="Calibri" w:hAnsi="Calibri" w:cs="Calibri"/>
              </w:rPr>
              <w:t xml:space="preserve"> un valor permanente en vi</w:t>
            </w:r>
            <w:r>
              <w:rPr>
                <w:rFonts w:ascii="Calibri" w:hAnsi="Calibri" w:cs="Calibri"/>
              </w:rPr>
              <w:t xml:space="preserve">rtud de </w:t>
            </w:r>
            <w:r>
              <w:rPr>
                <w:rFonts w:ascii="Calibri" w:hAnsi="Calibri" w:cs="Calibri"/>
              </w:rPr>
              <w:lastRenderedPageBreak/>
              <w:t xml:space="preserve">derechos y obligaciones </w:t>
            </w:r>
            <w:r w:rsidRPr="00AA4D8C">
              <w:rPr>
                <w:rFonts w:ascii="Calibri" w:hAnsi="Calibri" w:cs="Calibri"/>
              </w:rPr>
              <w:t xml:space="preserve">imprescriptibles que revelan origen, organización </w:t>
            </w:r>
            <w:r>
              <w:rPr>
                <w:rFonts w:ascii="Calibri" w:hAnsi="Calibri" w:cs="Calibri"/>
              </w:rPr>
              <w:t xml:space="preserve">y desarrollo de la Institución. </w:t>
            </w:r>
            <w:r w:rsidRPr="00AA4D8C">
              <w:rPr>
                <w:rFonts w:ascii="Calibri" w:hAnsi="Calibri" w:cs="Calibri"/>
              </w:rPr>
              <w:t>Ejemplo: bienes patrimoniales</w:t>
            </w:r>
            <w:r>
              <w:rPr>
                <w:rFonts w:ascii="Calibri" w:hAnsi="Calibri" w:cs="Calibri"/>
              </w:rPr>
              <w:t>, por lo tanto se considera que no es de conservación permanente y se propone que si disposición final sea baja documental.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3S.6</w:t>
            </w:r>
          </w:p>
        </w:tc>
        <w:tc>
          <w:tcPr>
            <w:tcW w:w="7943" w:type="dxa"/>
          </w:tcPr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 observaciones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3S.7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 observaciones.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3S.8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 observaciones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3S.9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 DCCEADP enviará por correo electrónico</w:t>
            </w:r>
            <w:r w:rsidRPr="00945D5F">
              <w:rPr>
                <w:rFonts w:ascii="Calibri" w:hAnsi="Calibri" w:cs="Calibri"/>
              </w:rPr>
              <w:t xml:space="preserve"> al ACA el texto de cada uno de los artículos que mencionan la función por la cual se genera la serie documental.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el rubro de tipología documental, especificar que el tipo de documentos que generan son Oficios, dictámenes.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valores documentales, asignar además del valor legal, el valor administrativo.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recomienda que los plazos de conservación sean de 2 en AT y 3 en AC, para dar un total de 5 años.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Sí es de conservación permanente, dado que le asignaron valores secundarios.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sugiere que la conservación de la serie documental sea total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3S.10</w:t>
            </w:r>
          </w:p>
        </w:tc>
        <w:tc>
          <w:tcPr>
            <w:tcW w:w="7943" w:type="dxa"/>
          </w:tcPr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recomienda que los plazos de conservación sean de 2 en AT y 3 en AC, para dar un total de 5 años.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3S.11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considera que la serie documental cuenta con los valores secundarios: informativo y </w:t>
            </w:r>
            <w:proofErr w:type="spellStart"/>
            <w:r>
              <w:rPr>
                <w:rFonts w:ascii="Calibri" w:hAnsi="Calibri" w:cs="Calibri"/>
              </w:rPr>
              <w:t>evidencial</w:t>
            </w:r>
            <w:proofErr w:type="spellEnd"/>
            <w:r>
              <w:rPr>
                <w:rFonts w:ascii="Calibri" w:hAnsi="Calibri" w:cs="Calibri"/>
              </w:rPr>
              <w:t>, por lo tanto, es de conservación permanente.</w:t>
            </w:r>
          </w:p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 conservación sería total y su disposición final sería archivo histórico.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3S.12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el rubro de tipología documental, especificar el tipo de documentos que generan (oficios, listas y formatos de asesoría).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considera que la serie documental no cuenta con valor secundario, dado que el valor </w:t>
            </w:r>
            <w:proofErr w:type="spellStart"/>
            <w:r>
              <w:rPr>
                <w:rFonts w:ascii="Calibri" w:hAnsi="Calibri" w:cs="Calibri"/>
              </w:rPr>
              <w:t>evidencial</w:t>
            </w:r>
            <w:proofErr w:type="spellEnd"/>
            <w:r>
              <w:rPr>
                <w:rFonts w:ascii="Calibri" w:hAnsi="Calibri" w:cs="Calibri"/>
              </w:rPr>
              <w:t xml:space="preserve"> es el que determina</w:t>
            </w:r>
            <w:r w:rsidRPr="00AA4D8C">
              <w:rPr>
                <w:rFonts w:ascii="Calibri" w:hAnsi="Calibri" w:cs="Calibri"/>
              </w:rPr>
              <w:t xml:space="preserve"> un valor permanente en vi</w:t>
            </w:r>
            <w:r>
              <w:rPr>
                <w:rFonts w:ascii="Calibri" w:hAnsi="Calibri" w:cs="Calibri"/>
              </w:rPr>
              <w:t xml:space="preserve">rtud de derechos y obligaciones </w:t>
            </w:r>
            <w:r w:rsidRPr="00AA4D8C">
              <w:rPr>
                <w:rFonts w:ascii="Calibri" w:hAnsi="Calibri" w:cs="Calibri"/>
              </w:rPr>
              <w:t xml:space="preserve">imprescriptibles que revelan origen, organización </w:t>
            </w:r>
            <w:r>
              <w:rPr>
                <w:rFonts w:ascii="Calibri" w:hAnsi="Calibri" w:cs="Calibri"/>
              </w:rPr>
              <w:t xml:space="preserve">y desarrollo de la Institución. </w:t>
            </w:r>
            <w:r w:rsidRPr="00AA4D8C">
              <w:rPr>
                <w:rFonts w:ascii="Calibri" w:hAnsi="Calibri" w:cs="Calibri"/>
              </w:rPr>
              <w:t>Ejemplo: bienes patrimoniales</w:t>
            </w:r>
            <w:r>
              <w:rPr>
                <w:rFonts w:ascii="Calibri" w:hAnsi="Calibri" w:cs="Calibri"/>
              </w:rPr>
              <w:t>, por lo tanto se considera que no es de conservación permanente y se propone que su disposición final sea baja documental.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4S.1</w:t>
            </w:r>
          </w:p>
        </w:tc>
        <w:tc>
          <w:tcPr>
            <w:tcW w:w="7943" w:type="dxa"/>
          </w:tcPr>
          <w:p w:rsidR="00D72D7C" w:rsidRPr="00945D5F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recomienda que los plazos de conservación sean de 3 en AT y 4 en AC, para dar un total de 7 años.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4S.2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Agregar el valor administrativo a la serie documental.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considera que la serie documental cuenta con los valores secundarios: informativo y </w:t>
            </w:r>
            <w:proofErr w:type="spellStart"/>
            <w:r>
              <w:rPr>
                <w:rFonts w:ascii="Calibri" w:hAnsi="Calibri" w:cs="Calibri"/>
              </w:rPr>
              <w:t>evidencial</w:t>
            </w:r>
            <w:proofErr w:type="spellEnd"/>
            <w:r>
              <w:rPr>
                <w:rFonts w:ascii="Calibri" w:hAnsi="Calibri" w:cs="Calibri"/>
              </w:rPr>
              <w:t>, por lo tanto, es de conservación permanente.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 conservación será parcial y se seleccionarán por muestreo los expedientes a conservar. Su disposición final será al archivo histórico.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4S.3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considera que la serie documental cuenta con los valores secundarios: informativo y </w:t>
            </w:r>
            <w:proofErr w:type="spellStart"/>
            <w:r>
              <w:rPr>
                <w:rFonts w:ascii="Calibri" w:hAnsi="Calibri" w:cs="Calibri"/>
              </w:rPr>
              <w:t>evidencial</w:t>
            </w:r>
            <w:proofErr w:type="spellEnd"/>
            <w:r>
              <w:rPr>
                <w:rFonts w:ascii="Calibri" w:hAnsi="Calibri" w:cs="Calibri"/>
              </w:rPr>
              <w:t>, por lo tanto, es de conservación permanente.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 conservación será parcial y se seleccionarán por muestreo los expedientes a conservar. Su disposición final será al archivo histórico.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4S.4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considera que la serie documental cuenta con los valores secundarios: informativo y </w:t>
            </w:r>
            <w:proofErr w:type="spellStart"/>
            <w:r>
              <w:rPr>
                <w:rFonts w:ascii="Calibri" w:hAnsi="Calibri" w:cs="Calibri"/>
              </w:rPr>
              <w:t>evidencial</w:t>
            </w:r>
            <w:proofErr w:type="spellEnd"/>
            <w:r>
              <w:rPr>
                <w:rFonts w:ascii="Calibri" w:hAnsi="Calibri" w:cs="Calibri"/>
              </w:rPr>
              <w:t>, por lo tanto, es de conservación permanente.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 conservación será parcial y se seleccionarán por muestreo los expedientes a conservar. Su disposición final será al archivo histórico.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4S.5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 observaciones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5S.1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 observaciones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5S.2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 el rubro de función por la cual se genera la serie documental, describir el instrumento jurídico, especificar el artículo, fracción o inciso. 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el rubro de tipología documental, especificar el tipo de documentos que generan (Oficios, listas de asistencia, base de datos).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Dado que no se consideraron valores documentales secundarios, la disposición final de la serie es baja documental.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5S.3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el rubro de tipología documental, especificar el tipo de documentos que generan (Oficios, listas de asistencia, base de datos).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Quitar el valor legal y asignar el valor administrativo. 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recomienda que los plazos de conservación sean de 2 en AT y 3 en AC, para dar un total de 5 años.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considera que la serie documental no cuenta con valor secundario, dado que establecieron que no tiene conservación permanente, no se debe marcar la técnica de selección. </w:t>
            </w:r>
          </w:p>
        </w:tc>
      </w:tr>
      <w:tr w:rsidR="00D72D7C" w:rsidRPr="00B27385" w:rsidTr="00D72D7C">
        <w:trPr>
          <w:jc w:val="center"/>
        </w:trPr>
        <w:tc>
          <w:tcPr>
            <w:tcW w:w="846" w:type="dxa"/>
          </w:tcPr>
          <w:p w:rsidR="00D72D7C" w:rsidRDefault="00D72D7C" w:rsidP="007059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5S.4</w:t>
            </w:r>
          </w:p>
        </w:tc>
        <w:tc>
          <w:tcPr>
            <w:tcW w:w="7943" w:type="dxa"/>
          </w:tcPr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considera que la serie documental cuenta con los valores secundarios: informativo y testimonial, por lo tanto, es de conservación permanente.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 conservación será parcial y se seleccionarán por muestreo los expedientes a conservar. Su disposición final será al archivo histórico.</w:t>
            </w:r>
          </w:p>
          <w:p w:rsidR="00D72D7C" w:rsidRDefault="00D72D7C" w:rsidP="00705924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D72D7C" w:rsidRDefault="00D72D7C" w:rsidP="00D72D7C"/>
    <w:p w:rsidR="00096E02" w:rsidRPr="007A2DD6" w:rsidRDefault="00096E02">
      <w:pPr>
        <w:rPr>
          <w:lang w:val="es-ES"/>
        </w:rPr>
      </w:pPr>
    </w:p>
    <w:sectPr w:rsidR="00096E02" w:rsidRPr="007A2DD6" w:rsidSect="00D75A54">
      <w:headerReference w:type="default" r:id="rId8"/>
      <w:footerReference w:type="default" r:id="rId9"/>
      <w:pgSz w:w="12240" w:h="15840" w:code="1"/>
      <w:pgMar w:top="1701" w:right="170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042" w:rsidRDefault="00BB3042" w:rsidP="00505074">
      <w:r>
        <w:separator/>
      </w:r>
    </w:p>
  </w:endnote>
  <w:endnote w:type="continuationSeparator" w:id="0">
    <w:p w:rsidR="00BB3042" w:rsidRDefault="00BB3042" w:rsidP="0050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6120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F5870" w:rsidRDefault="008F587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C1473"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C1473"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F5870" w:rsidRDefault="008F58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042" w:rsidRDefault="00BB3042" w:rsidP="00505074">
      <w:r>
        <w:separator/>
      </w:r>
    </w:p>
  </w:footnote>
  <w:footnote w:type="continuationSeparator" w:id="0">
    <w:p w:rsidR="00BB3042" w:rsidRDefault="00BB3042" w:rsidP="0050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E1E" w:rsidRDefault="00AD7E1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056886C0" wp14:editId="1606316B">
          <wp:simplePos x="0" y="0"/>
          <wp:positionH relativeFrom="margin">
            <wp:align>right</wp:align>
          </wp:positionH>
          <wp:positionV relativeFrom="paragraph">
            <wp:posOffset>-423545</wp:posOffset>
          </wp:positionV>
          <wp:extent cx="5612130" cy="828675"/>
          <wp:effectExtent l="0" t="0" r="762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231"/>
                  <a:stretch/>
                </pic:blipFill>
                <pic:spPr bwMode="auto">
                  <a:xfrm>
                    <a:off x="0" y="0"/>
                    <a:ext cx="5612130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AD7E1E" w:rsidRDefault="00AD7E1E">
    <w:pPr>
      <w:pStyle w:val="Encabezado"/>
    </w:pPr>
  </w:p>
  <w:p w:rsidR="00A53558" w:rsidRDefault="00A5355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6A29C28" wp14:editId="274D6C8B">
          <wp:simplePos x="0" y="0"/>
          <wp:positionH relativeFrom="margin">
            <wp:posOffset>2574925</wp:posOffset>
          </wp:positionH>
          <wp:positionV relativeFrom="paragraph">
            <wp:posOffset>5146675</wp:posOffset>
          </wp:positionV>
          <wp:extent cx="7291705" cy="106017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2020-1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291705" cy="1060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2CA"/>
    <w:multiLevelType w:val="hybridMultilevel"/>
    <w:tmpl w:val="019C2790"/>
    <w:lvl w:ilvl="0" w:tplc="BDD418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04306"/>
    <w:multiLevelType w:val="hybridMultilevel"/>
    <w:tmpl w:val="193EBC7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0228"/>
    <w:multiLevelType w:val="hybridMultilevel"/>
    <w:tmpl w:val="9FB8D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55309"/>
    <w:multiLevelType w:val="hybridMultilevel"/>
    <w:tmpl w:val="84D2D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42441"/>
    <w:multiLevelType w:val="hybridMultilevel"/>
    <w:tmpl w:val="084E0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235F2"/>
    <w:multiLevelType w:val="hybridMultilevel"/>
    <w:tmpl w:val="8D94EB6E"/>
    <w:lvl w:ilvl="0" w:tplc="A8485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16210"/>
    <w:multiLevelType w:val="hybridMultilevel"/>
    <w:tmpl w:val="86225E28"/>
    <w:lvl w:ilvl="0" w:tplc="885ED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8060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5217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BE9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A9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4A23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24A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CE8C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AB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34E11"/>
    <w:multiLevelType w:val="hybridMultilevel"/>
    <w:tmpl w:val="C3D8B2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85D00"/>
    <w:multiLevelType w:val="hybridMultilevel"/>
    <w:tmpl w:val="2548C7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115C1"/>
    <w:multiLevelType w:val="hybridMultilevel"/>
    <w:tmpl w:val="91723124"/>
    <w:lvl w:ilvl="0" w:tplc="A5040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2C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7CA9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1E2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6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867F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44E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8B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A44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F92EE7"/>
    <w:multiLevelType w:val="hybridMultilevel"/>
    <w:tmpl w:val="414677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E6DA0"/>
    <w:multiLevelType w:val="hybridMultilevel"/>
    <w:tmpl w:val="D3A891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1672B"/>
    <w:multiLevelType w:val="hybridMultilevel"/>
    <w:tmpl w:val="63A66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12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74"/>
    <w:rsid w:val="00001109"/>
    <w:rsid w:val="00026AAD"/>
    <w:rsid w:val="0004566B"/>
    <w:rsid w:val="0005716D"/>
    <w:rsid w:val="000630B9"/>
    <w:rsid w:val="0009268C"/>
    <w:rsid w:val="00096E02"/>
    <w:rsid w:val="000A54D0"/>
    <w:rsid w:val="000B139D"/>
    <w:rsid w:val="000C40D4"/>
    <w:rsid w:val="000C6D29"/>
    <w:rsid w:val="00100115"/>
    <w:rsid w:val="001117A0"/>
    <w:rsid w:val="001118E0"/>
    <w:rsid w:val="0018751F"/>
    <w:rsid w:val="00190C78"/>
    <w:rsid w:val="001C3A24"/>
    <w:rsid w:val="001C4F33"/>
    <w:rsid w:val="001D0998"/>
    <w:rsid w:val="001D1923"/>
    <w:rsid w:val="00217BF3"/>
    <w:rsid w:val="002868AC"/>
    <w:rsid w:val="002B1E89"/>
    <w:rsid w:val="002C0F8F"/>
    <w:rsid w:val="002E15A0"/>
    <w:rsid w:val="003178B0"/>
    <w:rsid w:val="0032059C"/>
    <w:rsid w:val="00320B59"/>
    <w:rsid w:val="003250C8"/>
    <w:rsid w:val="003774AE"/>
    <w:rsid w:val="00387590"/>
    <w:rsid w:val="003A07A7"/>
    <w:rsid w:val="003F7C21"/>
    <w:rsid w:val="00490A3B"/>
    <w:rsid w:val="00491AE3"/>
    <w:rsid w:val="004A4C50"/>
    <w:rsid w:val="004B3E02"/>
    <w:rsid w:val="004D6D00"/>
    <w:rsid w:val="00505074"/>
    <w:rsid w:val="005179F2"/>
    <w:rsid w:val="00520BD7"/>
    <w:rsid w:val="00531A6A"/>
    <w:rsid w:val="005969D1"/>
    <w:rsid w:val="005C1473"/>
    <w:rsid w:val="005C273A"/>
    <w:rsid w:val="00600BAC"/>
    <w:rsid w:val="00612D65"/>
    <w:rsid w:val="00617188"/>
    <w:rsid w:val="006373C0"/>
    <w:rsid w:val="0064473B"/>
    <w:rsid w:val="006D2151"/>
    <w:rsid w:val="0073345E"/>
    <w:rsid w:val="00751672"/>
    <w:rsid w:val="007823E4"/>
    <w:rsid w:val="007958C9"/>
    <w:rsid w:val="007A2DD6"/>
    <w:rsid w:val="008008A9"/>
    <w:rsid w:val="00803F67"/>
    <w:rsid w:val="00834CEA"/>
    <w:rsid w:val="008464CF"/>
    <w:rsid w:val="00873265"/>
    <w:rsid w:val="008B011F"/>
    <w:rsid w:val="008B107A"/>
    <w:rsid w:val="008F5870"/>
    <w:rsid w:val="00920943"/>
    <w:rsid w:val="00926882"/>
    <w:rsid w:val="00956866"/>
    <w:rsid w:val="00A343CD"/>
    <w:rsid w:val="00A53558"/>
    <w:rsid w:val="00A953C6"/>
    <w:rsid w:val="00AA070F"/>
    <w:rsid w:val="00AD7E1E"/>
    <w:rsid w:val="00AF0243"/>
    <w:rsid w:val="00B00CEC"/>
    <w:rsid w:val="00BB3042"/>
    <w:rsid w:val="00BB5967"/>
    <w:rsid w:val="00C07082"/>
    <w:rsid w:val="00C6283A"/>
    <w:rsid w:val="00C9053E"/>
    <w:rsid w:val="00C9431B"/>
    <w:rsid w:val="00CA0BBB"/>
    <w:rsid w:val="00CA1A33"/>
    <w:rsid w:val="00CA61FD"/>
    <w:rsid w:val="00CB2181"/>
    <w:rsid w:val="00CB3980"/>
    <w:rsid w:val="00D27BBE"/>
    <w:rsid w:val="00D4774A"/>
    <w:rsid w:val="00D72D7C"/>
    <w:rsid w:val="00D75A54"/>
    <w:rsid w:val="00DF6C05"/>
    <w:rsid w:val="00E13E2E"/>
    <w:rsid w:val="00E478F7"/>
    <w:rsid w:val="00E75ACB"/>
    <w:rsid w:val="00E81A2F"/>
    <w:rsid w:val="00ED7C05"/>
    <w:rsid w:val="00F102AD"/>
    <w:rsid w:val="00F125DA"/>
    <w:rsid w:val="00F766A7"/>
    <w:rsid w:val="00FB294E"/>
    <w:rsid w:val="00FD07A0"/>
    <w:rsid w:val="00FD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E5260"/>
  <w15:chartTrackingRefBased/>
  <w15:docId w15:val="{FDC084AB-A772-4D4F-B577-95EFDEA6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C3A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5074"/>
  </w:style>
  <w:style w:type="paragraph" w:styleId="Piedepgina">
    <w:name w:val="footer"/>
    <w:basedOn w:val="Normal"/>
    <w:link w:val="PiedepginaCar"/>
    <w:uiPriority w:val="99"/>
    <w:unhideWhenUsed/>
    <w:rsid w:val="00505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074"/>
  </w:style>
  <w:style w:type="character" w:customStyle="1" w:styleId="Ttulo2Car">
    <w:name w:val="Título 2 Car"/>
    <w:basedOn w:val="Fuentedeprrafopredeter"/>
    <w:link w:val="Ttulo2"/>
    <w:uiPriority w:val="9"/>
    <w:rsid w:val="001C3A2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C3A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1C3A24"/>
    <w:rPr>
      <w:b/>
      <w:bCs/>
    </w:rPr>
  </w:style>
  <w:style w:type="paragraph" w:styleId="Prrafodelista">
    <w:name w:val="List Paragraph"/>
    <w:basedOn w:val="Normal"/>
    <w:uiPriority w:val="34"/>
    <w:qFormat/>
    <w:rsid w:val="00D75A54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aconcuadrcula">
    <w:name w:val="Table Grid"/>
    <w:basedOn w:val="Tablanormal"/>
    <w:uiPriority w:val="39"/>
    <w:rsid w:val="00D75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C6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687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7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48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1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630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73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18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5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78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4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702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8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31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330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8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64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025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2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57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456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2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27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1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784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46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49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BCAFA7-D57B-4863-9653-43498617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3823</Words>
  <Characters>21029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Difusión Iaipo</dc:creator>
  <cp:keywords/>
  <dc:description/>
  <cp:lastModifiedBy>María Tanivet Ramos Reyes</cp:lastModifiedBy>
  <cp:revision>5</cp:revision>
  <cp:lastPrinted>2021-01-22T21:08:00Z</cp:lastPrinted>
  <dcterms:created xsi:type="dcterms:W3CDTF">2021-01-22T21:04:00Z</dcterms:created>
  <dcterms:modified xsi:type="dcterms:W3CDTF">2021-01-22T21:08:00Z</dcterms:modified>
</cp:coreProperties>
</file>